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黑体" w:eastAsia="方正小标宋简体"/>
          <w:sz w:val="22"/>
          <w:szCs w:val="22"/>
        </w:rPr>
      </w:pPr>
      <w:r>
        <w:rPr>
          <w:rFonts w:hint="eastAsia" w:ascii="方正小标宋简体" w:hAnsi="黑体" w:eastAsia="方正小标宋简体"/>
          <w:sz w:val="22"/>
          <w:szCs w:val="22"/>
          <w:lang w:val="en-US" w:eastAsia="zh-CN"/>
        </w:rPr>
        <w:t xml:space="preserve">             </w:t>
      </w:r>
      <w:r>
        <w:rPr>
          <w:rFonts w:hint="eastAsia" w:ascii="方正小标宋简体" w:hAnsi="黑体" w:eastAsia="方正小标宋简体"/>
          <w:sz w:val="22"/>
          <w:szCs w:val="22"/>
        </w:rPr>
        <w:t>药物临床试验质量管理规范</w:t>
      </w:r>
      <w:r>
        <w:rPr>
          <w:rFonts w:hint="eastAsia" w:ascii="楷体_GB2312" w:hAnsi="仿宋" w:eastAsia="楷体_GB2312"/>
          <w:sz w:val="22"/>
          <w:szCs w:val="22"/>
        </w:rPr>
        <w:t>（修订稿）</w:t>
      </w:r>
    </w:p>
    <w:p>
      <w:pPr>
        <w:adjustRightInd w:val="0"/>
        <w:snapToGrid w:val="0"/>
        <w:spacing w:line="560" w:lineRule="exact"/>
        <w:jc w:val="center"/>
        <w:rPr>
          <w:rFonts w:ascii="方正小标宋简体" w:eastAsia="方正小标宋简体"/>
          <w:sz w:val="22"/>
          <w:szCs w:val="22"/>
        </w:rPr>
      </w:pPr>
      <w:bookmarkStart w:id="0" w:name="_Toc454451260"/>
      <w:bookmarkStart w:id="1" w:name="_Toc441830697"/>
      <w:r>
        <w:rPr>
          <w:rFonts w:hint="eastAsia" w:ascii="方正小标宋简体" w:eastAsia="方正小标宋简体"/>
          <w:sz w:val="22"/>
          <w:szCs w:val="22"/>
        </w:rPr>
        <w:t>第一章  总  则</w:t>
      </w:r>
      <w:bookmarkEnd w:id="0"/>
    </w:p>
    <w:p>
      <w:pPr>
        <w:spacing w:line="560" w:lineRule="exact"/>
        <w:ind w:firstLine="640" w:firstLineChars="200"/>
        <w:rPr>
          <w:rFonts w:eastAsia="仿宋_GB2312"/>
          <w:sz w:val="22"/>
          <w:szCs w:val="22"/>
        </w:rPr>
      </w:pPr>
      <w:bookmarkStart w:id="2" w:name="_Toc452726021"/>
      <w:bookmarkStart w:id="3" w:name="_Toc454451261"/>
      <w:r>
        <w:rPr>
          <w:rFonts w:ascii="黑体" w:hAnsi="黑体" w:eastAsia="黑体"/>
          <w:sz w:val="22"/>
          <w:szCs w:val="22"/>
        </w:rPr>
        <w:t>第一条</w:t>
      </w:r>
      <w:r>
        <w:rPr>
          <w:rFonts w:eastAsia="仿宋_GB2312"/>
          <w:sz w:val="22"/>
          <w:szCs w:val="22"/>
        </w:rPr>
        <w:t xml:space="preserve">  为保证药物临床试验过程规范，数据和所报告结果的科学、真实、可靠，保护受试者的权益和安全，根据《中华人民共和国药品管理法》《中华人民共和国药品管理法实施条例》，参照国际公认原则，制定本规范。</w:t>
      </w:r>
      <w:bookmarkEnd w:id="2"/>
      <w:bookmarkEnd w:id="3"/>
    </w:p>
    <w:p>
      <w:pPr>
        <w:spacing w:line="560" w:lineRule="exact"/>
        <w:ind w:firstLine="640" w:firstLineChars="200"/>
        <w:rPr>
          <w:rFonts w:eastAsia="仿宋_GB2312"/>
          <w:sz w:val="22"/>
          <w:szCs w:val="22"/>
        </w:rPr>
      </w:pPr>
      <w:bookmarkStart w:id="4" w:name="_Toc452726022"/>
      <w:bookmarkStart w:id="5" w:name="_Toc454451262"/>
      <w:r>
        <w:rPr>
          <w:rFonts w:ascii="黑体" w:hAnsi="黑体" w:eastAsia="黑体"/>
          <w:sz w:val="22"/>
          <w:szCs w:val="22"/>
        </w:rPr>
        <w:t>第二条</w:t>
      </w:r>
      <w:r>
        <w:rPr>
          <w:rFonts w:eastAsia="仿宋_GB2312"/>
          <w:sz w:val="22"/>
          <w:szCs w:val="22"/>
        </w:rPr>
        <w:t xml:space="preserve">  药物临床试验质量管理规范（GCP）是临床试验全过程的标准规定，包括方案设计、组织实施、执行、监查、稽查、记录、分析、总结和报告。</w:t>
      </w:r>
    </w:p>
    <w:p>
      <w:pPr>
        <w:spacing w:line="560" w:lineRule="exact"/>
        <w:ind w:firstLine="640" w:firstLineChars="200"/>
        <w:rPr>
          <w:rFonts w:eastAsia="仿宋_GB2312"/>
          <w:sz w:val="22"/>
          <w:szCs w:val="22"/>
        </w:rPr>
      </w:pPr>
      <w:r>
        <w:rPr>
          <w:rFonts w:ascii="黑体" w:hAnsi="黑体" w:eastAsia="黑体"/>
          <w:sz w:val="22"/>
          <w:szCs w:val="22"/>
        </w:rPr>
        <w:t>第三条</w:t>
      </w:r>
      <w:r>
        <w:rPr>
          <w:rFonts w:eastAsia="仿宋_GB2312"/>
          <w:sz w:val="22"/>
          <w:szCs w:val="22"/>
        </w:rPr>
        <w:t xml:space="preserve">  药物临床试验必须符合《世界医学大会赫尔辛基宣言》原则，受试者的权益和安全是临床试验考虑的首要因素，并高于对科学和社会获益的考虑。伦理委员会与知情同意书是保障受试者权益的主要措施。</w:t>
      </w:r>
      <w:bookmarkEnd w:id="4"/>
      <w:bookmarkEnd w:id="5"/>
    </w:p>
    <w:p>
      <w:pPr>
        <w:spacing w:line="560" w:lineRule="exact"/>
        <w:ind w:firstLine="640" w:firstLineChars="200"/>
        <w:rPr>
          <w:rFonts w:eastAsia="仿宋_GB2312"/>
          <w:sz w:val="22"/>
          <w:szCs w:val="22"/>
        </w:rPr>
      </w:pPr>
      <w:bookmarkStart w:id="6" w:name="_Toc452726024"/>
      <w:bookmarkStart w:id="7" w:name="_Toc454451264"/>
      <w:r>
        <w:rPr>
          <w:rFonts w:ascii="黑体" w:hAnsi="黑体" w:eastAsia="黑体"/>
          <w:sz w:val="22"/>
          <w:szCs w:val="22"/>
        </w:rPr>
        <w:t>第四条</w:t>
      </w:r>
      <w:r>
        <w:rPr>
          <w:rFonts w:eastAsia="仿宋_GB2312"/>
          <w:sz w:val="22"/>
          <w:szCs w:val="22"/>
        </w:rPr>
        <w:t xml:space="preserve">  </w:t>
      </w:r>
      <w:r>
        <w:rPr>
          <w:rFonts w:eastAsia="仿宋_GB2312"/>
          <w:spacing w:val="2"/>
          <w:sz w:val="22"/>
          <w:szCs w:val="22"/>
        </w:rPr>
        <w:t>进行药物临床试验必须有充分的科学依据。临床试验开始前应权衡试验对受试者预期的风险和获益，判定是否有悖于社会责任和义务。只有当预期的获益大于风险时，方可开始和/或继续临床试验。</w:t>
      </w:r>
      <w:bookmarkEnd w:id="6"/>
      <w:bookmarkEnd w:id="7"/>
    </w:p>
    <w:p>
      <w:pPr>
        <w:spacing w:line="560" w:lineRule="exact"/>
        <w:ind w:firstLine="640" w:firstLineChars="200"/>
        <w:rPr>
          <w:rFonts w:eastAsia="仿宋_GB2312"/>
          <w:sz w:val="22"/>
          <w:szCs w:val="22"/>
        </w:rPr>
      </w:pPr>
      <w:bookmarkStart w:id="8" w:name="_Toc452726025"/>
      <w:bookmarkStart w:id="9" w:name="_Toc454451265"/>
      <w:r>
        <w:rPr>
          <w:rFonts w:ascii="黑体" w:hAnsi="黑体" w:eastAsia="黑体"/>
          <w:sz w:val="22"/>
          <w:szCs w:val="22"/>
        </w:rPr>
        <w:t>第五条</w:t>
      </w:r>
      <w:r>
        <w:rPr>
          <w:rFonts w:eastAsia="仿宋_GB2312"/>
          <w:sz w:val="22"/>
          <w:szCs w:val="22"/>
        </w:rPr>
        <w:t xml:space="preserve">  临床试验方案必须清晰、详细、可操作。临床试验方案在获得伦理委员会的批准后方可执行。 </w:t>
      </w:r>
      <w:bookmarkEnd w:id="8"/>
      <w:bookmarkEnd w:id="9"/>
    </w:p>
    <w:p>
      <w:pPr>
        <w:spacing w:line="560" w:lineRule="exact"/>
        <w:ind w:firstLine="640" w:firstLineChars="200"/>
        <w:rPr>
          <w:rFonts w:eastAsia="仿宋_GB2312"/>
          <w:sz w:val="22"/>
          <w:szCs w:val="22"/>
        </w:rPr>
      </w:pPr>
      <w:bookmarkStart w:id="10" w:name="_Toc452726026"/>
      <w:bookmarkStart w:id="11" w:name="_Toc454451266"/>
      <w:r>
        <w:rPr>
          <w:rFonts w:ascii="黑体" w:hAnsi="黑体" w:eastAsia="黑体"/>
          <w:sz w:val="22"/>
          <w:szCs w:val="22"/>
        </w:rPr>
        <w:t>第六条</w:t>
      </w:r>
      <w:r>
        <w:rPr>
          <w:rFonts w:eastAsia="仿宋_GB2312"/>
          <w:sz w:val="22"/>
          <w:szCs w:val="22"/>
        </w:rPr>
        <w:t xml:space="preserve">  研究者在临床试验过程中必须遵守临床试验方案和医疗常规，凡涉及医学判断或临床决策必须由临床医生作出。</w:t>
      </w:r>
      <w:bookmarkEnd w:id="10"/>
      <w:bookmarkEnd w:id="11"/>
    </w:p>
    <w:p>
      <w:pPr>
        <w:spacing w:line="560" w:lineRule="exact"/>
        <w:ind w:firstLine="640" w:firstLineChars="200"/>
        <w:rPr>
          <w:rFonts w:eastAsia="仿宋_GB2312"/>
          <w:spacing w:val="2"/>
          <w:sz w:val="22"/>
          <w:szCs w:val="22"/>
        </w:rPr>
      </w:pPr>
      <w:bookmarkStart w:id="12" w:name="_Toc452726027"/>
      <w:bookmarkStart w:id="13" w:name="_Toc454451267"/>
      <w:r>
        <w:rPr>
          <w:rFonts w:ascii="黑体" w:hAnsi="黑体" w:eastAsia="黑体"/>
          <w:sz w:val="22"/>
          <w:szCs w:val="22"/>
        </w:rPr>
        <w:t>第七条</w:t>
      </w:r>
      <w:r>
        <w:rPr>
          <w:rFonts w:eastAsia="仿宋_GB2312"/>
          <w:sz w:val="22"/>
          <w:szCs w:val="22"/>
        </w:rPr>
        <w:t xml:space="preserve">  </w:t>
      </w:r>
      <w:r>
        <w:rPr>
          <w:rFonts w:eastAsia="仿宋_GB2312"/>
          <w:spacing w:val="2"/>
          <w:sz w:val="22"/>
          <w:szCs w:val="22"/>
        </w:rPr>
        <w:t>所有临床试验的纸质或电子资料均应被妥善地记录、处理和保存，并确保能正确用于临床试验的报告、解释和核对。</w:t>
      </w:r>
      <w:bookmarkEnd w:id="12"/>
      <w:bookmarkEnd w:id="13"/>
    </w:p>
    <w:p>
      <w:pPr>
        <w:spacing w:line="560" w:lineRule="exact"/>
        <w:ind w:firstLine="640" w:firstLineChars="200"/>
        <w:rPr>
          <w:rFonts w:eastAsia="仿宋_GB2312"/>
          <w:sz w:val="22"/>
          <w:szCs w:val="22"/>
        </w:rPr>
      </w:pPr>
      <w:bookmarkStart w:id="14" w:name="_Toc454451268"/>
      <w:bookmarkStart w:id="15" w:name="_Toc452726028"/>
      <w:r>
        <w:rPr>
          <w:rFonts w:ascii="黑体" w:hAnsi="黑体" w:eastAsia="黑体"/>
          <w:sz w:val="22"/>
          <w:szCs w:val="22"/>
        </w:rPr>
        <w:t>第八条</w:t>
      </w:r>
      <w:r>
        <w:rPr>
          <w:rFonts w:eastAsia="仿宋_GB2312"/>
          <w:sz w:val="22"/>
          <w:szCs w:val="22"/>
        </w:rPr>
        <w:t xml:space="preserve">  试验药物的制备应符合《药品生产质量管理规范》</w:t>
      </w:r>
      <w:r>
        <w:rPr>
          <w:rFonts w:hint="eastAsia" w:eastAsia="仿宋_GB2312"/>
          <w:sz w:val="22"/>
          <w:szCs w:val="22"/>
        </w:rPr>
        <w:t>（</w:t>
      </w:r>
      <w:r>
        <w:rPr>
          <w:rFonts w:eastAsia="仿宋_GB2312"/>
          <w:sz w:val="22"/>
          <w:szCs w:val="22"/>
        </w:rPr>
        <w:t>GMP</w:t>
      </w:r>
      <w:r>
        <w:rPr>
          <w:rFonts w:hint="eastAsia" w:eastAsia="仿宋_GB2312"/>
          <w:sz w:val="22"/>
          <w:szCs w:val="22"/>
        </w:rPr>
        <w:t>）</w:t>
      </w:r>
      <w:r>
        <w:rPr>
          <w:rFonts w:eastAsia="仿宋_GB2312"/>
          <w:sz w:val="22"/>
          <w:szCs w:val="22"/>
        </w:rPr>
        <w:t>原则。试验药物的使用必须按照被批准的试验方案执行。</w:t>
      </w:r>
      <w:bookmarkEnd w:id="14"/>
      <w:bookmarkEnd w:id="15"/>
    </w:p>
    <w:p>
      <w:pPr>
        <w:spacing w:line="560" w:lineRule="exact"/>
        <w:ind w:firstLine="640" w:firstLineChars="200"/>
        <w:rPr>
          <w:rFonts w:eastAsia="仿宋_GB2312"/>
          <w:sz w:val="22"/>
          <w:szCs w:val="22"/>
        </w:rPr>
      </w:pPr>
      <w:bookmarkStart w:id="16" w:name="_Toc454451269"/>
      <w:bookmarkStart w:id="17" w:name="_Toc452726029"/>
      <w:r>
        <w:rPr>
          <w:rFonts w:ascii="黑体" w:hAnsi="黑体" w:eastAsia="黑体"/>
          <w:sz w:val="22"/>
          <w:szCs w:val="22"/>
        </w:rPr>
        <w:t>第九条</w:t>
      </w:r>
      <w:r>
        <w:rPr>
          <w:rFonts w:eastAsia="仿宋_GB2312"/>
          <w:sz w:val="22"/>
          <w:szCs w:val="22"/>
        </w:rPr>
        <w:t xml:space="preserve">  临床试验各方应建立相应的质量保证体系，以保证临床试验遵守临床试验方案和相关法律法规。</w:t>
      </w:r>
      <w:bookmarkEnd w:id="16"/>
      <w:bookmarkEnd w:id="17"/>
    </w:p>
    <w:p>
      <w:pPr>
        <w:spacing w:line="560" w:lineRule="exact"/>
        <w:ind w:firstLine="640" w:firstLineChars="200"/>
        <w:rPr>
          <w:rFonts w:eastAsia="仿宋_GB2312"/>
          <w:sz w:val="22"/>
          <w:szCs w:val="22"/>
        </w:rPr>
      </w:pPr>
      <w:bookmarkStart w:id="18" w:name="_Toc454451270"/>
      <w:bookmarkStart w:id="19" w:name="_Toc452726030"/>
      <w:r>
        <w:rPr>
          <w:rFonts w:ascii="黑体" w:hAnsi="黑体" w:eastAsia="黑体"/>
          <w:sz w:val="22"/>
          <w:szCs w:val="22"/>
        </w:rPr>
        <w:t>第十条</w:t>
      </w:r>
      <w:r>
        <w:rPr>
          <w:rFonts w:eastAsia="仿宋_GB2312"/>
          <w:sz w:val="22"/>
          <w:szCs w:val="22"/>
        </w:rPr>
        <w:t xml:space="preserve">  参加临床试验的各方应遵守利益冲突回避的原则。</w:t>
      </w:r>
      <w:bookmarkEnd w:id="18"/>
      <w:bookmarkEnd w:id="19"/>
    </w:p>
    <w:p>
      <w:pPr>
        <w:spacing w:line="560" w:lineRule="exact"/>
        <w:ind w:firstLine="640" w:firstLineChars="200"/>
        <w:rPr>
          <w:rFonts w:eastAsia="仿宋_GB2312"/>
          <w:sz w:val="22"/>
          <w:szCs w:val="22"/>
        </w:rPr>
      </w:pPr>
    </w:p>
    <w:p>
      <w:pPr>
        <w:adjustRightInd w:val="0"/>
        <w:snapToGrid w:val="0"/>
        <w:spacing w:line="560" w:lineRule="exact"/>
        <w:jc w:val="center"/>
        <w:rPr>
          <w:rFonts w:ascii="方正小标宋简体" w:eastAsia="方正小标宋简体"/>
          <w:sz w:val="22"/>
          <w:szCs w:val="22"/>
        </w:rPr>
      </w:pPr>
      <w:bookmarkStart w:id="20" w:name="_Toc454451271"/>
      <w:r>
        <w:rPr>
          <w:rFonts w:hint="eastAsia" w:ascii="方正小标宋简体" w:eastAsia="方正小标宋简体"/>
          <w:sz w:val="22"/>
          <w:szCs w:val="22"/>
        </w:rPr>
        <w:t>第二章  伦理</w:t>
      </w:r>
      <w:bookmarkEnd w:id="20"/>
      <w:r>
        <w:rPr>
          <w:rFonts w:hint="eastAsia" w:ascii="方正小标宋简体" w:eastAsia="方正小标宋简体"/>
          <w:sz w:val="22"/>
          <w:szCs w:val="22"/>
        </w:rPr>
        <w:t>委员会</w:t>
      </w:r>
    </w:p>
    <w:p>
      <w:pPr>
        <w:spacing w:line="560" w:lineRule="exact"/>
        <w:ind w:firstLine="640" w:firstLineChars="200"/>
        <w:rPr>
          <w:rFonts w:eastAsia="仿宋_GB2312"/>
          <w:sz w:val="22"/>
          <w:szCs w:val="22"/>
        </w:rPr>
      </w:pPr>
      <w:bookmarkStart w:id="21" w:name="_Toc454451272"/>
      <w:bookmarkStart w:id="22" w:name="_Toc452726032"/>
      <w:r>
        <w:rPr>
          <w:rFonts w:ascii="黑体" w:hAnsi="黑体" w:eastAsia="黑体"/>
          <w:sz w:val="22"/>
          <w:szCs w:val="22"/>
        </w:rPr>
        <w:t>第十一条</w:t>
      </w:r>
      <w:r>
        <w:rPr>
          <w:rFonts w:eastAsia="仿宋_GB2312"/>
          <w:sz w:val="22"/>
          <w:szCs w:val="22"/>
        </w:rPr>
        <w:t xml:space="preserve">  伦理委员会的职责</w:t>
      </w:r>
      <w:bookmarkEnd w:id="21"/>
      <w:bookmarkEnd w:id="22"/>
    </w:p>
    <w:p>
      <w:pPr>
        <w:spacing w:line="560" w:lineRule="exact"/>
        <w:ind w:firstLine="640" w:firstLineChars="200"/>
        <w:rPr>
          <w:rFonts w:eastAsia="仿宋_GB2312"/>
          <w:sz w:val="22"/>
          <w:szCs w:val="22"/>
        </w:rPr>
      </w:pPr>
      <w:r>
        <w:rPr>
          <w:rFonts w:eastAsia="仿宋_GB2312"/>
          <w:sz w:val="22"/>
          <w:szCs w:val="22"/>
        </w:rPr>
        <w:t>（一）伦理委员会的职责是保护受试者的权益和安全，特别应关注弱势受试者。伦理委员会应对药物临床试验的科学性和伦理性进行审查。</w:t>
      </w:r>
    </w:p>
    <w:p>
      <w:pPr>
        <w:spacing w:line="560" w:lineRule="exact"/>
        <w:ind w:firstLine="640" w:firstLineChars="200"/>
        <w:rPr>
          <w:rFonts w:eastAsia="仿宋_GB2312"/>
          <w:spacing w:val="2"/>
          <w:sz w:val="22"/>
          <w:szCs w:val="22"/>
        </w:rPr>
      </w:pPr>
      <w:r>
        <w:rPr>
          <w:rFonts w:eastAsia="仿宋_GB2312"/>
          <w:sz w:val="22"/>
          <w:szCs w:val="22"/>
        </w:rPr>
        <w:t>（二）</w:t>
      </w:r>
      <w:r>
        <w:rPr>
          <w:rFonts w:eastAsia="仿宋_GB2312"/>
          <w:spacing w:val="2"/>
          <w:sz w:val="22"/>
          <w:szCs w:val="22"/>
        </w:rPr>
        <w:t>伦理委员会应审查的文件：临床试验方案和方案修正案；受试者的书面知情同意书及其更新件；招募受试者的方式和信息；提供给受试者的书面资料信息；研究者手册；现有的安全性资料；包含受试者补偿信息的文件；研究者的最新履历和/或其他证明资质的文件；伦理委员会履行其职责所需要的其他文件。</w:t>
      </w:r>
    </w:p>
    <w:p>
      <w:pPr>
        <w:spacing w:line="560" w:lineRule="exact"/>
        <w:ind w:firstLine="640" w:firstLineChars="200"/>
        <w:rPr>
          <w:rFonts w:eastAsia="仿宋_GB2312"/>
          <w:sz w:val="22"/>
          <w:szCs w:val="22"/>
        </w:rPr>
      </w:pPr>
      <w:r>
        <w:rPr>
          <w:rFonts w:eastAsia="仿宋_GB2312"/>
          <w:sz w:val="22"/>
          <w:szCs w:val="22"/>
        </w:rPr>
        <w:t>（三）根据研究者的最新履历和/或伦理委员会要求提供的其他相关资质证明文件，对研究者的资质进行审查。</w:t>
      </w:r>
    </w:p>
    <w:p>
      <w:pPr>
        <w:spacing w:line="560" w:lineRule="exact"/>
        <w:ind w:firstLine="640" w:firstLineChars="200"/>
        <w:rPr>
          <w:rFonts w:eastAsia="仿宋_GB2312"/>
          <w:sz w:val="22"/>
          <w:szCs w:val="22"/>
        </w:rPr>
      </w:pPr>
      <w:r>
        <w:rPr>
          <w:rFonts w:eastAsia="仿宋_GB2312"/>
          <w:sz w:val="22"/>
          <w:szCs w:val="22"/>
        </w:rPr>
        <w:t>（四）在伦理审查过程中，为了更好地判断在临床试验中能否确保受试者的权益和安全，伦理委员会可以要求提供受试者签署知情同意书内容（本规范第二十三条）以外的资料和信息。</w:t>
      </w:r>
    </w:p>
    <w:p>
      <w:pPr>
        <w:spacing w:line="560" w:lineRule="exact"/>
        <w:ind w:firstLine="640" w:firstLineChars="200"/>
        <w:rPr>
          <w:rFonts w:eastAsia="仿宋_GB2312"/>
          <w:sz w:val="22"/>
          <w:szCs w:val="22"/>
        </w:rPr>
      </w:pPr>
      <w:r>
        <w:rPr>
          <w:rFonts w:eastAsia="仿宋_GB2312"/>
          <w:sz w:val="22"/>
          <w:szCs w:val="22"/>
        </w:rPr>
        <w:t>（五）进行非治疗性临床试验时，若受试者的知情同意是由其法定代理人替代实施时，伦理委员会应特别关注试验方案中是否充分考虑了相应的伦理学问题以及相关法规要求。</w:t>
      </w:r>
    </w:p>
    <w:p>
      <w:pPr>
        <w:spacing w:line="560" w:lineRule="exact"/>
        <w:ind w:firstLine="640" w:firstLineChars="200"/>
        <w:rPr>
          <w:rFonts w:eastAsia="仿宋_GB2312"/>
          <w:sz w:val="22"/>
          <w:szCs w:val="22"/>
        </w:rPr>
      </w:pPr>
      <w:r>
        <w:rPr>
          <w:rFonts w:eastAsia="仿宋_GB2312"/>
          <w:sz w:val="22"/>
          <w:szCs w:val="22"/>
        </w:rPr>
        <w:t>（六）若试验方案中明确说明，紧急情况下受试者或其法定代理人无法在试验前签署知情同意书，伦理委员会应审查试验方案中充分考虑了相应的伦理学问题以及相关法规要求。</w:t>
      </w:r>
    </w:p>
    <w:p>
      <w:pPr>
        <w:spacing w:line="560" w:lineRule="exact"/>
        <w:ind w:firstLine="640" w:firstLineChars="200"/>
        <w:rPr>
          <w:rFonts w:eastAsia="仿宋_GB2312"/>
          <w:sz w:val="22"/>
          <w:szCs w:val="22"/>
        </w:rPr>
      </w:pPr>
      <w:r>
        <w:rPr>
          <w:rFonts w:eastAsia="仿宋_GB2312"/>
          <w:sz w:val="22"/>
          <w:szCs w:val="22"/>
        </w:rPr>
        <w:t>（七）伦理委员会必须审查是否存在受试者被强迫、利诱等不正当的影响而参加临床试验。</w:t>
      </w:r>
    </w:p>
    <w:p>
      <w:pPr>
        <w:spacing w:line="560" w:lineRule="exact"/>
        <w:ind w:firstLine="640" w:firstLineChars="200"/>
        <w:rPr>
          <w:rFonts w:eastAsia="仿宋_GB2312"/>
          <w:sz w:val="22"/>
          <w:szCs w:val="22"/>
        </w:rPr>
      </w:pPr>
      <w:r>
        <w:rPr>
          <w:rFonts w:eastAsia="仿宋_GB2312"/>
          <w:sz w:val="22"/>
          <w:szCs w:val="22"/>
        </w:rPr>
        <w:t>（八）伦理委员会应确保在书面知情同意书、提供给受试者的其他书面资料已经说明了给受试者补偿的信息，包括补偿方式和计划。</w:t>
      </w:r>
    </w:p>
    <w:p>
      <w:pPr>
        <w:spacing w:line="560" w:lineRule="exact"/>
        <w:ind w:firstLine="640" w:firstLineChars="200"/>
        <w:rPr>
          <w:rFonts w:eastAsia="仿宋_GB2312"/>
          <w:sz w:val="22"/>
          <w:szCs w:val="22"/>
        </w:rPr>
      </w:pPr>
      <w:r>
        <w:rPr>
          <w:rFonts w:eastAsia="仿宋_GB2312"/>
          <w:sz w:val="22"/>
          <w:szCs w:val="22"/>
        </w:rPr>
        <w:t>（九）伦理委员会应在合理的时限内完成临床试验相关资料的审查，并给出明确的书面审查意见。书面审查意见必须包括审查的临床试验名称、文件（含版本号）和日期。</w:t>
      </w:r>
    </w:p>
    <w:p>
      <w:pPr>
        <w:spacing w:line="560" w:lineRule="exact"/>
        <w:ind w:firstLine="640" w:firstLineChars="200"/>
        <w:rPr>
          <w:rFonts w:eastAsia="仿宋_GB2312"/>
          <w:sz w:val="22"/>
          <w:szCs w:val="22"/>
        </w:rPr>
      </w:pPr>
      <w:r>
        <w:rPr>
          <w:rFonts w:eastAsia="仿宋_GB2312"/>
          <w:sz w:val="22"/>
          <w:szCs w:val="22"/>
        </w:rPr>
        <w:t>（十）伦理委员会审查的意见包括：批准；必要的修正后批准及其修正内容；不批准及其理由；终止或暂停及其理由。</w:t>
      </w:r>
    </w:p>
    <w:p>
      <w:pPr>
        <w:spacing w:line="560" w:lineRule="exact"/>
        <w:ind w:firstLine="640" w:firstLineChars="200"/>
        <w:rPr>
          <w:rFonts w:eastAsia="仿宋_GB2312"/>
          <w:sz w:val="22"/>
          <w:szCs w:val="22"/>
        </w:rPr>
      </w:pPr>
      <w:r>
        <w:rPr>
          <w:rFonts w:eastAsia="仿宋_GB2312"/>
          <w:sz w:val="22"/>
          <w:szCs w:val="22"/>
        </w:rPr>
        <w:t>（十一）伦理委员会应关注临床试验实施中出现的重要偏离，如增加受试者风险和/或显著影响试验实施的变动；所有严重的和非预期的药物不良事件；可能对受试者的安全或临床试验的实施产生不利影响的新信息。</w:t>
      </w:r>
    </w:p>
    <w:p>
      <w:pPr>
        <w:spacing w:line="560" w:lineRule="exact"/>
        <w:ind w:firstLine="648" w:firstLineChars="200"/>
        <w:rPr>
          <w:rFonts w:eastAsia="仿宋_GB2312"/>
          <w:spacing w:val="2"/>
          <w:sz w:val="22"/>
          <w:szCs w:val="22"/>
        </w:rPr>
      </w:pPr>
      <w:r>
        <w:rPr>
          <w:rFonts w:eastAsia="仿宋_GB2312"/>
          <w:spacing w:val="2"/>
          <w:sz w:val="22"/>
          <w:szCs w:val="22"/>
        </w:rPr>
        <w:t>对于没有按照伦理委员会要求进行的临床试验，或者对受试者出现未预期严重损害的研究，伦理委员会有权暂停或终止研究。</w:t>
      </w:r>
    </w:p>
    <w:p>
      <w:pPr>
        <w:spacing w:line="560" w:lineRule="exact"/>
        <w:ind w:firstLine="640" w:firstLineChars="200"/>
        <w:rPr>
          <w:rFonts w:eastAsia="仿宋_GB2312"/>
          <w:sz w:val="22"/>
          <w:szCs w:val="22"/>
        </w:rPr>
      </w:pPr>
      <w:r>
        <w:rPr>
          <w:rFonts w:eastAsia="仿宋_GB2312"/>
          <w:sz w:val="22"/>
          <w:szCs w:val="22"/>
        </w:rPr>
        <w:t>（十二）伦理委员会应对正在进行的临床试验进行定期的跟踪审查，审查的频度应根据受试者的风险程度而定，但至少一年审查一次。</w:t>
      </w:r>
    </w:p>
    <w:p>
      <w:pPr>
        <w:spacing w:line="560" w:lineRule="exact"/>
        <w:ind w:firstLine="640" w:firstLineChars="200"/>
        <w:rPr>
          <w:rFonts w:eastAsia="仿宋_GB2312"/>
          <w:sz w:val="22"/>
          <w:szCs w:val="22"/>
        </w:rPr>
      </w:pPr>
      <w:r>
        <w:rPr>
          <w:rFonts w:eastAsia="仿宋_GB2312"/>
          <w:sz w:val="22"/>
          <w:szCs w:val="22"/>
        </w:rPr>
        <w:t>伦理委员会应受理并及时处理受试者的投诉。</w:t>
      </w:r>
    </w:p>
    <w:p>
      <w:pPr>
        <w:spacing w:line="560" w:lineRule="exact"/>
        <w:ind w:firstLine="640" w:firstLineChars="200"/>
        <w:rPr>
          <w:rFonts w:eastAsia="仿宋_GB2312"/>
          <w:sz w:val="22"/>
          <w:szCs w:val="22"/>
        </w:rPr>
      </w:pPr>
      <w:bookmarkStart w:id="23" w:name="_Toc452726033"/>
      <w:bookmarkStart w:id="24" w:name="_Toc454451273"/>
      <w:r>
        <w:rPr>
          <w:rFonts w:ascii="黑体" w:hAnsi="黑体" w:eastAsia="黑体"/>
          <w:sz w:val="22"/>
          <w:szCs w:val="22"/>
        </w:rPr>
        <w:t>第十二条</w:t>
      </w:r>
      <w:r>
        <w:rPr>
          <w:rFonts w:eastAsia="仿宋_GB2312"/>
          <w:sz w:val="22"/>
          <w:szCs w:val="22"/>
        </w:rPr>
        <w:t xml:space="preserve">  伦理委员会的组成</w:t>
      </w:r>
      <w:bookmarkEnd w:id="23"/>
      <w:bookmarkEnd w:id="24"/>
      <w:r>
        <w:rPr>
          <w:rFonts w:eastAsia="仿宋_GB2312"/>
          <w:sz w:val="22"/>
          <w:szCs w:val="22"/>
        </w:rPr>
        <w:t>和运行</w:t>
      </w:r>
    </w:p>
    <w:p>
      <w:pPr>
        <w:spacing w:line="560" w:lineRule="exact"/>
        <w:ind w:firstLine="640" w:firstLineChars="200"/>
        <w:rPr>
          <w:rFonts w:eastAsia="仿宋_GB2312"/>
          <w:sz w:val="22"/>
          <w:szCs w:val="22"/>
        </w:rPr>
      </w:pPr>
      <w:r>
        <w:rPr>
          <w:rFonts w:eastAsia="仿宋_GB2312"/>
          <w:sz w:val="22"/>
          <w:szCs w:val="22"/>
        </w:rPr>
        <w:t>（一）伦理委员会应分别有医药相关专业人员、非科学专业背景人员、非临床试验单位成员，并有不同性别的委员，至少5人组成。所有成员均有伦理审查的培训和经验，能够审查临床试验相关的伦理学和科学等方面的问题。</w:t>
      </w:r>
    </w:p>
    <w:p>
      <w:pPr>
        <w:spacing w:line="560" w:lineRule="exact"/>
        <w:ind w:firstLine="640" w:firstLineChars="200"/>
        <w:rPr>
          <w:rFonts w:eastAsia="仿宋_GB2312"/>
          <w:sz w:val="22"/>
          <w:szCs w:val="22"/>
        </w:rPr>
      </w:pPr>
      <w:r>
        <w:rPr>
          <w:rFonts w:eastAsia="仿宋_GB2312"/>
          <w:sz w:val="22"/>
          <w:szCs w:val="22"/>
        </w:rPr>
        <w:t>（二）审查药物临床试验的伦理委员会均应在药品监督管理部门备案，所有的工作应按照本规范和药品监督管理部门的要求实施。</w:t>
      </w:r>
    </w:p>
    <w:p>
      <w:pPr>
        <w:spacing w:line="560" w:lineRule="exact"/>
        <w:ind w:firstLine="640" w:firstLineChars="200"/>
        <w:rPr>
          <w:rFonts w:eastAsia="仿宋_GB2312"/>
          <w:sz w:val="22"/>
          <w:szCs w:val="22"/>
        </w:rPr>
      </w:pPr>
      <w:r>
        <w:rPr>
          <w:rFonts w:eastAsia="仿宋_GB2312"/>
          <w:sz w:val="22"/>
          <w:szCs w:val="22"/>
        </w:rPr>
        <w:t>（三）伦理委员会应按照其制度和标准操作规程（SOP）履行工作职责，审查工作应有书面记录，并注明会议日期、时间及会议讨论内容。</w:t>
      </w:r>
    </w:p>
    <w:p>
      <w:pPr>
        <w:spacing w:line="560" w:lineRule="exact"/>
        <w:ind w:firstLine="640" w:firstLineChars="200"/>
        <w:rPr>
          <w:rFonts w:eastAsia="仿宋_GB2312"/>
          <w:sz w:val="22"/>
          <w:szCs w:val="22"/>
        </w:rPr>
      </w:pPr>
      <w:r>
        <w:rPr>
          <w:rFonts w:eastAsia="仿宋_GB2312"/>
          <w:sz w:val="22"/>
          <w:szCs w:val="22"/>
        </w:rPr>
        <w:t>（四）伦理委员会会议审查决定的投票人员应满足规定人数。会议审查决定应形成书面文件。</w:t>
      </w:r>
    </w:p>
    <w:p>
      <w:pPr>
        <w:spacing w:line="560" w:lineRule="exact"/>
        <w:ind w:firstLine="640" w:firstLineChars="200"/>
        <w:rPr>
          <w:rFonts w:eastAsia="仿宋_GB2312"/>
          <w:sz w:val="22"/>
          <w:szCs w:val="22"/>
        </w:rPr>
      </w:pPr>
      <w:r>
        <w:rPr>
          <w:rFonts w:eastAsia="仿宋_GB2312"/>
          <w:sz w:val="22"/>
          <w:szCs w:val="22"/>
        </w:rPr>
        <w:t>（五）投票或提出审评意见的伦理委员会成员应独立于被审查临床试验项目。</w:t>
      </w:r>
    </w:p>
    <w:p>
      <w:pPr>
        <w:spacing w:line="560" w:lineRule="exact"/>
        <w:ind w:firstLine="640" w:firstLineChars="200"/>
        <w:rPr>
          <w:rFonts w:eastAsia="仿宋_GB2312"/>
          <w:sz w:val="22"/>
          <w:szCs w:val="22"/>
        </w:rPr>
      </w:pPr>
      <w:r>
        <w:rPr>
          <w:rFonts w:eastAsia="仿宋_GB2312"/>
          <w:sz w:val="22"/>
          <w:szCs w:val="22"/>
        </w:rPr>
        <w:t>（六）伦理委员会应有其成员详细信息，并保证其成员具备伦理审查的资格。</w:t>
      </w:r>
    </w:p>
    <w:p>
      <w:pPr>
        <w:spacing w:line="560" w:lineRule="exact"/>
        <w:ind w:firstLine="640" w:firstLineChars="200"/>
        <w:rPr>
          <w:rFonts w:eastAsia="仿宋_GB2312"/>
          <w:sz w:val="22"/>
          <w:szCs w:val="22"/>
        </w:rPr>
      </w:pPr>
      <w:r>
        <w:rPr>
          <w:rFonts w:eastAsia="仿宋_GB2312"/>
          <w:sz w:val="22"/>
          <w:szCs w:val="22"/>
        </w:rPr>
        <w:t>（七）研究者必须向伦理委员会提供伦理审查所需的各类资料，并能回答伦理委员会提出的问题。</w:t>
      </w:r>
    </w:p>
    <w:p>
      <w:pPr>
        <w:spacing w:line="560" w:lineRule="exact"/>
        <w:ind w:firstLine="640" w:firstLineChars="200"/>
        <w:rPr>
          <w:rFonts w:eastAsia="仿宋_GB2312"/>
          <w:sz w:val="22"/>
          <w:szCs w:val="22"/>
        </w:rPr>
      </w:pPr>
      <w:r>
        <w:rPr>
          <w:rFonts w:eastAsia="仿宋_GB2312"/>
          <w:sz w:val="22"/>
          <w:szCs w:val="22"/>
        </w:rPr>
        <w:t>（八）若伦理审查需要，可邀请伦理委员会成员以外的相关领域专家参与审查工作，但不参与投票。创新药物临床试验的伦理和科学性的审查，应邀请更多相关专业的专家参加。</w:t>
      </w:r>
    </w:p>
    <w:p>
      <w:pPr>
        <w:spacing w:line="560" w:lineRule="exact"/>
        <w:ind w:firstLine="640" w:firstLineChars="200"/>
        <w:rPr>
          <w:rFonts w:eastAsia="仿宋_GB2312"/>
          <w:sz w:val="22"/>
          <w:szCs w:val="22"/>
        </w:rPr>
      </w:pPr>
      <w:bookmarkStart w:id="25" w:name="_Toc454451274"/>
      <w:bookmarkStart w:id="26" w:name="_Toc452726034"/>
      <w:r>
        <w:rPr>
          <w:rFonts w:ascii="黑体" w:hAnsi="黑体" w:eastAsia="黑体"/>
          <w:sz w:val="22"/>
          <w:szCs w:val="22"/>
        </w:rPr>
        <w:t>第十三条</w:t>
      </w:r>
      <w:r>
        <w:rPr>
          <w:rFonts w:eastAsia="仿宋_GB2312"/>
          <w:sz w:val="22"/>
          <w:szCs w:val="22"/>
        </w:rPr>
        <w:t xml:space="preserve">  伦理委员会审查工作程序</w:t>
      </w:r>
      <w:bookmarkEnd w:id="25"/>
      <w:bookmarkEnd w:id="26"/>
    </w:p>
    <w:p>
      <w:pPr>
        <w:spacing w:line="560" w:lineRule="exact"/>
        <w:ind w:firstLine="640" w:firstLineChars="200"/>
        <w:rPr>
          <w:rFonts w:eastAsia="仿宋_GB2312"/>
          <w:sz w:val="22"/>
          <w:szCs w:val="22"/>
        </w:rPr>
      </w:pPr>
      <w:r>
        <w:rPr>
          <w:rFonts w:eastAsia="仿宋_GB2312"/>
          <w:sz w:val="22"/>
          <w:szCs w:val="22"/>
        </w:rPr>
        <w:t>伦理委员会必须建立制度并执行SOP，包括但不限于：</w:t>
      </w:r>
    </w:p>
    <w:p>
      <w:pPr>
        <w:spacing w:line="560" w:lineRule="exact"/>
        <w:ind w:firstLine="640" w:firstLineChars="200"/>
        <w:rPr>
          <w:rFonts w:eastAsia="仿宋_GB2312"/>
          <w:sz w:val="22"/>
          <w:szCs w:val="22"/>
        </w:rPr>
      </w:pPr>
      <w:r>
        <w:rPr>
          <w:rFonts w:eastAsia="仿宋_GB2312"/>
          <w:sz w:val="22"/>
          <w:szCs w:val="22"/>
        </w:rPr>
        <w:t>（一）伦理委员会组成的规定；</w:t>
      </w:r>
    </w:p>
    <w:p>
      <w:pPr>
        <w:spacing w:line="560" w:lineRule="exact"/>
        <w:ind w:firstLine="640" w:firstLineChars="200"/>
        <w:rPr>
          <w:rFonts w:eastAsia="仿宋_GB2312"/>
          <w:sz w:val="22"/>
          <w:szCs w:val="22"/>
        </w:rPr>
      </w:pPr>
      <w:r>
        <w:rPr>
          <w:rFonts w:eastAsia="仿宋_GB2312"/>
          <w:sz w:val="22"/>
          <w:szCs w:val="22"/>
        </w:rPr>
        <w:t>（二）伦理委员会的备案；</w:t>
      </w:r>
    </w:p>
    <w:p>
      <w:pPr>
        <w:spacing w:line="560" w:lineRule="exact"/>
        <w:ind w:firstLine="640" w:firstLineChars="200"/>
        <w:rPr>
          <w:rFonts w:eastAsia="仿宋_GB2312"/>
          <w:sz w:val="22"/>
          <w:szCs w:val="22"/>
        </w:rPr>
      </w:pPr>
      <w:r>
        <w:rPr>
          <w:rFonts w:eastAsia="仿宋_GB2312"/>
          <w:sz w:val="22"/>
          <w:szCs w:val="22"/>
        </w:rPr>
        <w:t>（三）伦理委员会会议安排程序；</w:t>
      </w:r>
    </w:p>
    <w:p>
      <w:pPr>
        <w:spacing w:line="560" w:lineRule="exact"/>
        <w:ind w:firstLine="640" w:firstLineChars="200"/>
        <w:rPr>
          <w:rFonts w:eastAsia="仿宋_GB2312"/>
          <w:sz w:val="22"/>
          <w:szCs w:val="22"/>
        </w:rPr>
      </w:pPr>
      <w:r>
        <w:rPr>
          <w:rFonts w:eastAsia="仿宋_GB2312"/>
          <w:sz w:val="22"/>
          <w:szCs w:val="22"/>
        </w:rPr>
        <w:t>（四）伦理委员会会议通知程序；</w:t>
      </w:r>
    </w:p>
    <w:p>
      <w:pPr>
        <w:spacing w:line="560" w:lineRule="exact"/>
        <w:ind w:firstLine="640" w:firstLineChars="200"/>
        <w:rPr>
          <w:rFonts w:eastAsia="仿宋_GB2312"/>
          <w:sz w:val="22"/>
          <w:szCs w:val="22"/>
        </w:rPr>
      </w:pPr>
      <w:r>
        <w:rPr>
          <w:rFonts w:eastAsia="仿宋_GB2312"/>
          <w:sz w:val="22"/>
          <w:szCs w:val="22"/>
        </w:rPr>
        <w:t>（五）伦理委员会会议审查程序；</w:t>
      </w:r>
    </w:p>
    <w:p>
      <w:pPr>
        <w:spacing w:line="560" w:lineRule="exact"/>
        <w:ind w:firstLine="640" w:firstLineChars="200"/>
        <w:rPr>
          <w:rFonts w:eastAsia="仿宋_GB2312"/>
          <w:sz w:val="22"/>
          <w:szCs w:val="22"/>
        </w:rPr>
      </w:pPr>
      <w:r>
        <w:rPr>
          <w:rFonts w:eastAsia="仿宋_GB2312"/>
          <w:sz w:val="22"/>
          <w:szCs w:val="22"/>
        </w:rPr>
        <w:t>（六）伦理委员会初始审查和跟踪审查程序；</w:t>
      </w:r>
    </w:p>
    <w:p>
      <w:pPr>
        <w:spacing w:line="560" w:lineRule="exact"/>
        <w:ind w:firstLine="640" w:firstLineChars="200"/>
        <w:rPr>
          <w:rFonts w:eastAsia="仿宋_GB2312"/>
          <w:sz w:val="22"/>
          <w:szCs w:val="22"/>
        </w:rPr>
      </w:pPr>
      <w:r>
        <w:rPr>
          <w:rFonts w:eastAsia="仿宋_GB2312"/>
          <w:sz w:val="22"/>
          <w:szCs w:val="22"/>
        </w:rPr>
        <w:t>（七）对试验过程中轻微变更的快速审查和批准程序；</w:t>
      </w:r>
    </w:p>
    <w:p>
      <w:pPr>
        <w:spacing w:line="560" w:lineRule="exact"/>
        <w:ind w:firstLine="640" w:firstLineChars="200"/>
        <w:rPr>
          <w:rFonts w:eastAsia="仿宋_GB2312"/>
          <w:sz w:val="22"/>
          <w:szCs w:val="22"/>
        </w:rPr>
      </w:pPr>
      <w:r>
        <w:rPr>
          <w:rFonts w:eastAsia="仿宋_GB2312"/>
          <w:sz w:val="22"/>
          <w:szCs w:val="22"/>
        </w:rPr>
        <w:t>（八）伦理委员会审查意见通知程序；</w:t>
      </w:r>
    </w:p>
    <w:p>
      <w:pPr>
        <w:spacing w:line="560" w:lineRule="exact"/>
        <w:ind w:firstLine="640" w:firstLineChars="200"/>
        <w:rPr>
          <w:rFonts w:eastAsia="仿宋_GB2312"/>
          <w:sz w:val="22"/>
          <w:szCs w:val="22"/>
        </w:rPr>
      </w:pPr>
      <w:r>
        <w:rPr>
          <w:rFonts w:eastAsia="仿宋_GB2312"/>
          <w:sz w:val="22"/>
          <w:szCs w:val="22"/>
        </w:rPr>
        <w:t>（九）伦理委员会受理申诉的程序。</w:t>
      </w:r>
    </w:p>
    <w:p>
      <w:pPr>
        <w:spacing w:line="560" w:lineRule="exact"/>
        <w:ind w:firstLine="640" w:firstLineChars="200"/>
        <w:rPr>
          <w:rFonts w:eastAsia="仿宋_GB2312"/>
          <w:sz w:val="22"/>
          <w:szCs w:val="22"/>
        </w:rPr>
      </w:pPr>
      <w:bookmarkStart w:id="27" w:name="_Toc452726035"/>
      <w:bookmarkStart w:id="28" w:name="_Toc454451275"/>
      <w:r>
        <w:rPr>
          <w:rFonts w:ascii="黑体" w:hAnsi="黑体" w:eastAsia="黑体"/>
          <w:sz w:val="22"/>
          <w:szCs w:val="22"/>
        </w:rPr>
        <w:t>第十四条</w:t>
      </w:r>
      <w:r>
        <w:rPr>
          <w:rFonts w:eastAsia="仿宋_GB2312"/>
          <w:sz w:val="22"/>
          <w:szCs w:val="22"/>
        </w:rPr>
        <w:t xml:space="preserve">  伦理委员会工作记录</w:t>
      </w:r>
      <w:bookmarkEnd w:id="27"/>
      <w:bookmarkEnd w:id="28"/>
    </w:p>
    <w:p>
      <w:pPr>
        <w:spacing w:line="560" w:lineRule="exact"/>
        <w:ind w:firstLine="640" w:firstLineChars="200"/>
        <w:rPr>
          <w:rFonts w:eastAsia="仿宋_GB2312"/>
          <w:sz w:val="22"/>
          <w:szCs w:val="22"/>
        </w:rPr>
      </w:pPr>
      <w:r>
        <w:rPr>
          <w:rFonts w:eastAsia="仿宋_GB2312"/>
          <w:sz w:val="22"/>
          <w:szCs w:val="22"/>
        </w:rPr>
        <w:t>伦理委员会必须保留伦理审查的全部记录，包括伦理审查的书面记录、伦理委员会组成成员信息、递交的文件、会议记录和相关往来记录等。所有记录保存至试验结束后5年。</w:t>
      </w:r>
    </w:p>
    <w:p>
      <w:pPr>
        <w:spacing w:line="560" w:lineRule="exact"/>
        <w:ind w:firstLine="640" w:firstLineChars="200"/>
        <w:rPr>
          <w:rFonts w:eastAsia="仿宋_GB2312"/>
          <w:sz w:val="22"/>
          <w:szCs w:val="22"/>
        </w:rPr>
      </w:pPr>
      <w:r>
        <w:rPr>
          <w:rFonts w:eastAsia="仿宋_GB2312"/>
          <w:sz w:val="22"/>
          <w:szCs w:val="22"/>
        </w:rPr>
        <w:t>研究者、申办者或药品监督管理部门可以要求伦理委员会，提供其SOP和伦理审查成员名单。</w:t>
      </w:r>
    </w:p>
    <w:p>
      <w:pPr>
        <w:spacing w:line="560" w:lineRule="exact"/>
        <w:ind w:firstLine="640" w:firstLineChars="200"/>
        <w:rPr>
          <w:rFonts w:eastAsia="仿宋_GB2312"/>
          <w:sz w:val="22"/>
          <w:szCs w:val="22"/>
        </w:rPr>
      </w:pPr>
    </w:p>
    <w:p>
      <w:pPr>
        <w:spacing w:line="560" w:lineRule="exact"/>
        <w:ind w:firstLine="640" w:firstLineChars="200"/>
        <w:rPr>
          <w:rFonts w:eastAsia="仿宋_GB2312"/>
          <w:sz w:val="22"/>
          <w:szCs w:val="22"/>
        </w:rPr>
      </w:pPr>
    </w:p>
    <w:p>
      <w:pPr>
        <w:adjustRightInd w:val="0"/>
        <w:snapToGrid w:val="0"/>
        <w:spacing w:line="560" w:lineRule="exact"/>
        <w:jc w:val="center"/>
        <w:rPr>
          <w:rFonts w:ascii="方正小标宋简体" w:eastAsia="方正小标宋简体"/>
          <w:sz w:val="22"/>
          <w:szCs w:val="22"/>
        </w:rPr>
      </w:pPr>
      <w:bookmarkStart w:id="29" w:name="_Toc454451276"/>
      <w:r>
        <w:rPr>
          <w:rFonts w:hint="eastAsia" w:ascii="方正小标宋简体" w:eastAsia="方正小标宋简体"/>
          <w:sz w:val="22"/>
          <w:szCs w:val="22"/>
        </w:rPr>
        <w:t>第三章  研究者</w:t>
      </w:r>
      <w:bookmarkEnd w:id="29"/>
    </w:p>
    <w:p>
      <w:pPr>
        <w:spacing w:line="560" w:lineRule="exact"/>
        <w:ind w:firstLine="640" w:firstLineChars="200"/>
        <w:rPr>
          <w:rFonts w:eastAsia="仿宋_GB2312"/>
          <w:sz w:val="22"/>
          <w:szCs w:val="22"/>
        </w:rPr>
      </w:pPr>
      <w:bookmarkStart w:id="30" w:name="_Toc452726037"/>
      <w:bookmarkStart w:id="31" w:name="_Toc454451277"/>
      <w:r>
        <w:rPr>
          <w:rFonts w:ascii="黑体" w:hAnsi="黑体" w:eastAsia="黑体"/>
          <w:sz w:val="22"/>
          <w:szCs w:val="22"/>
        </w:rPr>
        <w:t>第十五条</w:t>
      </w:r>
      <w:r>
        <w:rPr>
          <w:rFonts w:eastAsia="仿宋_GB2312"/>
          <w:sz w:val="22"/>
          <w:szCs w:val="22"/>
        </w:rPr>
        <w:t xml:space="preserve">  研究者的</w:t>
      </w:r>
      <w:bookmarkEnd w:id="30"/>
      <w:bookmarkEnd w:id="31"/>
      <w:r>
        <w:rPr>
          <w:rFonts w:eastAsia="仿宋_GB2312"/>
          <w:sz w:val="22"/>
          <w:szCs w:val="22"/>
        </w:rPr>
        <w:t>资格</w:t>
      </w:r>
    </w:p>
    <w:p>
      <w:pPr>
        <w:spacing w:line="560" w:lineRule="exact"/>
        <w:ind w:firstLine="640" w:firstLineChars="200"/>
        <w:rPr>
          <w:rFonts w:eastAsia="仿宋_GB2312"/>
          <w:sz w:val="22"/>
          <w:szCs w:val="22"/>
        </w:rPr>
      </w:pPr>
      <w:r>
        <w:rPr>
          <w:rFonts w:eastAsia="仿宋_GB2312"/>
          <w:sz w:val="22"/>
          <w:szCs w:val="22"/>
        </w:rPr>
        <w:t>（一）研究者具有在其供职的医疗机构的执业资格；具备临床试验所需的专业知识、培训经历和承担临床试验的经验；并能向申办者、伦理委员会和药品监督管理部门提供最新的工作履历和相关资格文件。</w:t>
      </w:r>
    </w:p>
    <w:p>
      <w:pPr>
        <w:spacing w:line="560" w:lineRule="exact"/>
        <w:ind w:firstLine="640" w:firstLineChars="200"/>
        <w:rPr>
          <w:rFonts w:eastAsia="仿宋_GB2312"/>
          <w:sz w:val="22"/>
          <w:szCs w:val="22"/>
        </w:rPr>
      </w:pPr>
      <w:r>
        <w:rPr>
          <w:rFonts w:eastAsia="仿宋_GB2312"/>
          <w:sz w:val="22"/>
          <w:szCs w:val="22"/>
        </w:rPr>
        <w:t>（二）熟悉申办者提供的临床试验方案、研究者手册、试验药物相关资料信息。</w:t>
      </w:r>
    </w:p>
    <w:p>
      <w:pPr>
        <w:spacing w:line="560" w:lineRule="exact"/>
        <w:ind w:firstLine="640" w:firstLineChars="200"/>
        <w:rPr>
          <w:rFonts w:eastAsia="仿宋_GB2312"/>
          <w:sz w:val="22"/>
          <w:szCs w:val="22"/>
        </w:rPr>
      </w:pPr>
      <w:r>
        <w:rPr>
          <w:rFonts w:eastAsia="仿宋_GB2312"/>
          <w:sz w:val="22"/>
          <w:szCs w:val="22"/>
        </w:rPr>
        <w:t>（三）熟悉并遵守本规范和临床试验相关的法律法规。</w:t>
      </w:r>
    </w:p>
    <w:p>
      <w:pPr>
        <w:spacing w:line="560" w:lineRule="exact"/>
        <w:ind w:firstLine="640" w:firstLineChars="200"/>
        <w:rPr>
          <w:rFonts w:eastAsia="仿宋_GB2312"/>
          <w:sz w:val="22"/>
          <w:szCs w:val="22"/>
        </w:rPr>
      </w:pPr>
      <w:r>
        <w:rPr>
          <w:rFonts w:eastAsia="仿宋_GB2312"/>
          <w:sz w:val="22"/>
          <w:szCs w:val="22"/>
        </w:rPr>
        <w:t>（四）研究者和其供职的医疗机构能接受申办者组织的监查和稽查，及药品监督管理部门的检查。</w:t>
      </w:r>
    </w:p>
    <w:p>
      <w:pPr>
        <w:spacing w:line="560" w:lineRule="exact"/>
        <w:ind w:firstLine="640" w:firstLineChars="200"/>
        <w:rPr>
          <w:rFonts w:eastAsia="仿宋_GB2312"/>
          <w:sz w:val="22"/>
          <w:szCs w:val="22"/>
        </w:rPr>
      </w:pPr>
      <w:r>
        <w:rPr>
          <w:rFonts w:eastAsia="仿宋_GB2312"/>
          <w:sz w:val="22"/>
          <w:szCs w:val="22"/>
        </w:rPr>
        <w:t>（五）须保存一份由主要研究者签署的研究者分工授权表。</w:t>
      </w:r>
    </w:p>
    <w:p>
      <w:pPr>
        <w:spacing w:line="560" w:lineRule="exact"/>
        <w:ind w:firstLine="640" w:firstLineChars="200"/>
        <w:rPr>
          <w:rFonts w:eastAsia="仿宋_GB2312"/>
          <w:sz w:val="22"/>
          <w:szCs w:val="22"/>
        </w:rPr>
      </w:pPr>
      <w:bookmarkStart w:id="32" w:name="_Toc452726038"/>
      <w:bookmarkStart w:id="33" w:name="_Toc454451278"/>
      <w:r>
        <w:rPr>
          <w:rFonts w:ascii="黑体" w:hAnsi="黑体" w:eastAsia="黑体"/>
          <w:sz w:val="22"/>
          <w:szCs w:val="22"/>
        </w:rPr>
        <w:t>第十六条</w:t>
      </w:r>
      <w:r>
        <w:rPr>
          <w:rFonts w:eastAsia="仿宋_GB2312"/>
          <w:sz w:val="22"/>
          <w:szCs w:val="22"/>
        </w:rPr>
        <w:t xml:space="preserve">  医疗与临床试验资源</w:t>
      </w:r>
      <w:bookmarkEnd w:id="32"/>
      <w:bookmarkEnd w:id="33"/>
    </w:p>
    <w:p>
      <w:pPr>
        <w:spacing w:line="560" w:lineRule="exact"/>
        <w:ind w:firstLine="640" w:firstLineChars="200"/>
        <w:rPr>
          <w:rFonts w:eastAsia="仿宋_GB2312"/>
          <w:sz w:val="22"/>
          <w:szCs w:val="22"/>
        </w:rPr>
      </w:pPr>
      <w:r>
        <w:rPr>
          <w:rFonts w:eastAsia="仿宋_GB2312"/>
          <w:sz w:val="22"/>
          <w:szCs w:val="22"/>
        </w:rPr>
        <w:t>（一）研究者应能够在临床试验合同规定的期限内，入选足够数量的符合试验方案的受试者。</w:t>
      </w:r>
    </w:p>
    <w:p>
      <w:pPr>
        <w:spacing w:line="560" w:lineRule="exact"/>
        <w:ind w:firstLine="640" w:firstLineChars="200"/>
        <w:rPr>
          <w:rFonts w:eastAsia="仿宋_GB2312"/>
          <w:sz w:val="22"/>
          <w:szCs w:val="22"/>
        </w:rPr>
      </w:pPr>
      <w:r>
        <w:rPr>
          <w:rFonts w:eastAsia="仿宋_GB2312"/>
          <w:sz w:val="22"/>
          <w:szCs w:val="22"/>
        </w:rPr>
        <w:t>（二）研究者应保证在临床试验方案规定的期限内，完成临床试验。</w:t>
      </w:r>
    </w:p>
    <w:p>
      <w:pPr>
        <w:spacing w:line="560" w:lineRule="exact"/>
        <w:ind w:firstLine="640" w:firstLineChars="200"/>
        <w:rPr>
          <w:rFonts w:eastAsia="仿宋_GB2312"/>
          <w:sz w:val="22"/>
          <w:szCs w:val="22"/>
        </w:rPr>
      </w:pPr>
      <w:r>
        <w:rPr>
          <w:rFonts w:eastAsia="仿宋_GB2312"/>
          <w:sz w:val="22"/>
          <w:szCs w:val="22"/>
        </w:rPr>
        <w:t>（三）研究者在临床试验进行期间，有权支配参与该项试验的人员，具有使用试验所需医疗设施的权限并能正确、安全使用。</w:t>
      </w:r>
    </w:p>
    <w:p>
      <w:pPr>
        <w:spacing w:line="560" w:lineRule="exact"/>
        <w:ind w:firstLine="640" w:firstLineChars="200"/>
        <w:rPr>
          <w:rFonts w:eastAsia="仿宋_GB2312"/>
          <w:sz w:val="22"/>
          <w:szCs w:val="22"/>
        </w:rPr>
      </w:pPr>
      <w:r>
        <w:rPr>
          <w:rFonts w:eastAsia="仿宋_GB2312"/>
          <w:sz w:val="22"/>
          <w:szCs w:val="22"/>
        </w:rPr>
        <w:t>（四）研究者及其供职的医疗机构在临床试验期间，应确保所有参加临床试验的人员充分了解临床试验方案及试验用药品，明确各自在试验中的分工和职责，并确保临床试验数据的真实性、完整性和准确性。</w:t>
      </w:r>
    </w:p>
    <w:p>
      <w:pPr>
        <w:spacing w:line="580" w:lineRule="exact"/>
        <w:ind w:firstLine="640" w:firstLineChars="200"/>
        <w:rPr>
          <w:rFonts w:eastAsia="仿宋_GB2312"/>
          <w:sz w:val="22"/>
          <w:szCs w:val="22"/>
        </w:rPr>
      </w:pPr>
      <w:r>
        <w:rPr>
          <w:rFonts w:eastAsia="仿宋_GB2312"/>
          <w:sz w:val="22"/>
          <w:szCs w:val="22"/>
        </w:rPr>
        <w:t>（五）主要研究者监管所有研究者执行试验方案，并采取措施实施临床试验的质量管理。</w:t>
      </w:r>
    </w:p>
    <w:p>
      <w:pPr>
        <w:spacing w:line="580" w:lineRule="exact"/>
        <w:ind w:firstLine="640" w:firstLineChars="200"/>
        <w:rPr>
          <w:rFonts w:eastAsia="仿宋_GB2312"/>
          <w:sz w:val="22"/>
          <w:szCs w:val="22"/>
        </w:rPr>
      </w:pPr>
      <w:r>
        <w:rPr>
          <w:rFonts w:ascii="黑体" w:hAnsi="黑体" w:eastAsia="黑体"/>
          <w:sz w:val="22"/>
          <w:szCs w:val="22"/>
        </w:rPr>
        <w:t>第十七条</w:t>
      </w:r>
      <w:r>
        <w:rPr>
          <w:rFonts w:eastAsia="仿宋_GB2312"/>
          <w:sz w:val="22"/>
          <w:szCs w:val="22"/>
        </w:rPr>
        <w:t xml:space="preserve">  受试者的医疗</w:t>
      </w:r>
    </w:p>
    <w:p>
      <w:pPr>
        <w:spacing w:line="580" w:lineRule="exact"/>
        <w:ind w:firstLine="640" w:firstLineChars="200"/>
        <w:rPr>
          <w:rFonts w:eastAsia="仿宋_GB2312"/>
          <w:sz w:val="22"/>
          <w:szCs w:val="22"/>
        </w:rPr>
      </w:pPr>
      <w:r>
        <w:rPr>
          <w:rFonts w:eastAsia="仿宋_GB2312"/>
          <w:sz w:val="22"/>
          <w:szCs w:val="22"/>
        </w:rPr>
        <w:t>（一）授权参与试验的临床医生应承担所有与临床试验相关的医学决策。</w:t>
      </w:r>
    </w:p>
    <w:p>
      <w:pPr>
        <w:spacing w:line="580" w:lineRule="exact"/>
        <w:ind w:firstLine="640" w:firstLineChars="200"/>
        <w:rPr>
          <w:rFonts w:eastAsia="仿宋_GB2312"/>
          <w:sz w:val="22"/>
          <w:szCs w:val="22"/>
        </w:rPr>
      </w:pPr>
      <w:r>
        <w:rPr>
          <w:rFonts w:eastAsia="仿宋_GB2312"/>
          <w:sz w:val="22"/>
          <w:szCs w:val="22"/>
        </w:rPr>
        <w:t>（二）在临床试验和随访期间，对于受试者出现与试验相关的不良事件，包括有临床意义的实验室异常时，研究者及其供职的医疗机构应保证受试者得到妥善的医疗处理，并将相关情况如实告知受试者；同时研究者应警惕受试者是否有其他疾病。</w:t>
      </w:r>
    </w:p>
    <w:p>
      <w:pPr>
        <w:spacing w:line="580" w:lineRule="exact"/>
        <w:ind w:firstLine="640" w:firstLineChars="200"/>
        <w:rPr>
          <w:rFonts w:eastAsia="仿宋_GB2312"/>
          <w:sz w:val="22"/>
          <w:szCs w:val="22"/>
        </w:rPr>
      </w:pPr>
      <w:r>
        <w:rPr>
          <w:rFonts w:eastAsia="仿宋_GB2312"/>
          <w:sz w:val="22"/>
          <w:szCs w:val="22"/>
        </w:rPr>
        <w:t>（三）在受试者同意的情况下，研究者可将受试者参加试验的事宜告知其保健医生。</w:t>
      </w:r>
    </w:p>
    <w:p>
      <w:pPr>
        <w:spacing w:line="580" w:lineRule="exact"/>
        <w:ind w:firstLine="640" w:firstLineChars="200"/>
        <w:rPr>
          <w:rFonts w:eastAsia="仿宋_GB2312"/>
          <w:sz w:val="22"/>
          <w:szCs w:val="22"/>
        </w:rPr>
      </w:pPr>
      <w:r>
        <w:rPr>
          <w:rFonts w:eastAsia="仿宋_GB2312"/>
          <w:sz w:val="22"/>
          <w:szCs w:val="22"/>
        </w:rPr>
        <w:t>（四）受试者可无理由退出临床试验。研究者在尊重受试者个人权利的同时，应尽量了解其退出理由。</w:t>
      </w:r>
    </w:p>
    <w:p>
      <w:pPr>
        <w:spacing w:line="580" w:lineRule="exact"/>
        <w:ind w:firstLine="640" w:firstLineChars="200"/>
        <w:rPr>
          <w:rFonts w:eastAsia="仿宋_GB2312"/>
          <w:sz w:val="22"/>
          <w:szCs w:val="22"/>
        </w:rPr>
      </w:pPr>
      <w:bookmarkStart w:id="34" w:name="_Toc452726040"/>
      <w:bookmarkStart w:id="35" w:name="_Toc454451280"/>
      <w:r>
        <w:rPr>
          <w:rFonts w:ascii="黑体" w:hAnsi="黑体" w:eastAsia="黑体"/>
          <w:sz w:val="22"/>
          <w:szCs w:val="22"/>
        </w:rPr>
        <w:t>第十八条</w:t>
      </w:r>
      <w:r>
        <w:rPr>
          <w:rFonts w:eastAsia="仿宋_GB2312"/>
          <w:sz w:val="22"/>
          <w:szCs w:val="22"/>
        </w:rPr>
        <w:t xml:space="preserve">  与伦理委员会沟通</w:t>
      </w:r>
      <w:bookmarkEnd w:id="34"/>
      <w:bookmarkEnd w:id="35"/>
    </w:p>
    <w:p>
      <w:pPr>
        <w:spacing w:line="580" w:lineRule="exact"/>
        <w:ind w:firstLine="640" w:firstLineChars="200"/>
        <w:rPr>
          <w:rFonts w:eastAsia="仿宋_GB2312"/>
          <w:sz w:val="22"/>
          <w:szCs w:val="22"/>
        </w:rPr>
      </w:pPr>
      <w:r>
        <w:rPr>
          <w:rFonts w:eastAsia="仿宋_GB2312"/>
          <w:sz w:val="22"/>
          <w:szCs w:val="22"/>
        </w:rPr>
        <w:t>（一）在临床试验开始前，研究者应获得伦理委员会的书面批准；未获得伦理委员会书面批准之前，不能筛选受试者。</w:t>
      </w:r>
    </w:p>
    <w:p>
      <w:pPr>
        <w:spacing w:line="580" w:lineRule="exact"/>
        <w:ind w:firstLine="640" w:firstLineChars="200"/>
        <w:rPr>
          <w:rFonts w:eastAsia="仿宋_GB2312"/>
          <w:sz w:val="22"/>
          <w:szCs w:val="22"/>
        </w:rPr>
      </w:pPr>
      <w:r>
        <w:rPr>
          <w:rFonts w:eastAsia="仿宋_GB2312"/>
          <w:sz w:val="22"/>
          <w:szCs w:val="22"/>
        </w:rPr>
        <w:t>（二）临床试验开始前及临床试验过程中，研究者及其供职的医疗机构应向伦理委员会提供需要伦理审查的所有文件和更新版本的文件。</w:t>
      </w:r>
    </w:p>
    <w:p>
      <w:pPr>
        <w:spacing w:line="560" w:lineRule="exact"/>
        <w:ind w:firstLine="640" w:firstLineChars="200"/>
        <w:rPr>
          <w:rFonts w:eastAsia="仿宋_GB2312"/>
          <w:sz w:val="22"/>
          <w:szCs w:val="22"/>
        </w:rPr>
      </w:pPr>
      <w:bookmarkStart w:id="36" w:name="_Toc452726041"/>
      <w:bookmarkStart w:id="37" w:name="_Toc454451281"/>
      <w:r>
        <w:rPr>
          <w:rFonts w:ascii="黑体" w:hAnsi="黑体" w:eastAsia="黑体"/>
          <w:sz w:val="22"/>
          <w:szCs w:val="22"/>
        </w:rPr>
        <w:t>第十九条</w:t>
      </w:r>
      <w:r>
        <w:rPr>
          <w:rFonts w:eastAsia="仿宋_GB2312"/>
          <w:sz w:val="22"/>
          <w:szCs w:val="22"/>
        </w:rPr>
        <w:t xml:space="preserve">  遵守试验方案</w:t>
      </w:r>
      <w:bookmarkEnd w:id="36"/>
      <w:bookmarkEnd w:id="37"/>
    </w:p>
    <w:p>
      <w:pPr>
        <w:spacing w:line="560" w:lineRule="exact"/>
        <w:ind w:firstLine="640" w:firstLineChars="200"/>
        <w:rPr>
          <w:rFonts w:eastAsia="仿宋_GB2312"/>
          <w:sz w:val="22"/>
          <w:szCs w:val="22"/>
        </w:rPr>
      </w:pPr>
      <w:r>
        <w:rPr>
          <w:rFonts w:eastAsia="仿宋_GB2312"/>
          <w:sz w:val="22"/>
          <w:szCs w:val="22"/>
        </w:rPr>
        <w:t>（一）研究者及其供职的医疗机构应按照伦理委员会批准的临床试验方案进行试验。</w:t>
      </w:r>
    </w:p>
    <w:p>
      <w:pPr>
        <w:spacing w:line="560" w:lineRule="exact"/>
        <w:ind w:firstLine="640" w:firstLineChars="200"/>
        <w:rPr>
          <w:rFonts w:eastAsia="仿宋_GB2312"/>
          <w:sz w:val="22"/>
          <w:szCs w:val="22"/>
        </w:rPr>
      </w:pPr>
      <w:r>
        <w:rPr>
          <w:rFonts w:eastAsia="仿宋_GB2312"/>
          <w:sz w:val="22"/>
          <w:szCs w:val="22"/>
        </w:rPr>
        <w:t>（二）除非是为了及时减少受试者的紧急危害，或仅涉及临床试验管理方面的改动，如更换监查员、电话号码等，未经申办者同意以及伦理委员会的批准，研究者不得擅自修改或违背临床试验方案。</w:t>
      </w:r>
    </w:p>
    <w:p>
      <w:pPr>
        <w:spacing w:line="560" w:lineRule="exact"/>
        <w:ind w:firstLine="640" w:firstLineChars="200"/>
        <w:rPr>
          <w:rFonts w:eastAsia="仿宋_GB2312"/>
          <w:sz w:val="22"/>
          <w:szCs w:val="22"/>
        </w:rPr>
      </w:pPr>
      <w:r>
        <w:rPr>
          <w:rFonts w:eastAsia="仿宋_GB2312"/>
          <w:sz w:val="22"/>
          <w:szCs w:val="22"/>
        </w:rPr>
        <w:t>（三）对已批准试验方案的任何偏离，研究者或研究者指定的人员应给予记录和解释。</w:t>
      </w:r>
    </w:p>
    <w:p>
      <w:pPr>
        <w:spacing w:line="560" w:lineRule="exact"/>
        <w:ind w:firstLine="640" w:firstLineChars="200"/>
        <w:rPr>
          <w:rFonts w:eastAsia="仿宋_GB2312"/>
          <w:sz w:val="22"/>
          <w:szCs w:val="22"/>
        </w:rPr>
      </w:pPr>
      <w:r>
        <w:rPr>
          <w:rFonts w:eastAsia="仿宋_GB2312"/>
          <w:sz w:val="22"/>
          <w:szCs w:val="22"/>
        </w:rPr>
        <w:t>（四）研究者如欲修改临床试验方案，需经申办者同意，并提交伦理委员会审查，必要时报告药品监督管理部门。为了消除对受试者的紧急危害，在未获得伦理委员会批准的情况下，研究者偏离或改变试验方案时，应及时向伦理委员会、申办者报告，并说明理由，必要时报告药品监督管理部门。</w:t>
      </w:r>
    </w:p>
    <w:p>
      <w:pPr>
        <w:spacing w:line="560" w:lineRule="exact"/>
        <w:ind w:firstLine="640" w:firstLineChars="200"/>
        <w:rPr>
          <w:rFonts w:eastAsia="仿宋_GB2312"/>
          <w:sz w:val="22"/>
          <w:szCs w:val="22"/>
        </w:rPr>
      </w:pPr>
      <w:r>
        <w:rPr>
          <w:rFonts w:eastAsia="仿宋_GB2312"/>
          <w:sz w:val="22"/>
          <w:szCs w:val="22"/>
        </w:rPr>
        <w:t>（五）受试者进入临床试验后，研究者应控制合并用药，尤其是同类药品的使用。医疗机构与主要研究者应采取措施，除强化研究者的培训外，应在受试者的纸质和电子病历上注明相关临床试验情况；还应通过信息系统，对方案规定的禁用药进行必要的限制，对慎用药进行提醒。同时告知受试者在试验期间如在其他医院就诊时，应把自己参与临床试验的情况，尤其是用药情况知会接诊医生。</w:t>
      </w:r>
    </w:p>
    <w:p>
      <w:pPr>
        <w:spacing w:line="560" w:lineRule="exact"/>
        <w:ind w:firstLine="640" w:firstLineChars="200"/>
        <w:rPr>
          <w:rFonts w:eastAsia="仿宋_GB2312"/>
          <w:sz w:val="22"/>
          <w:szCs w:val="22"/>
        </w:rPr>
      </w:pPr>
      <w:bookmarkStart w:id="38" w:name="_Toc452726042"/>
      <w:bookmarkStart w:id="39" w:name="_Toc454451282"/>
      <w:r>
        <w:rPr>
          <w:rFonts w:ascii="黑体" w:hAnsi="黑体" w:eastAsia="黑体"/>
          <w:sz w:val="22"/>
          <w:szCs w:val="22"/>
        </w:rPr>
        <w:t>第二十条</w:t>
      </w:r>
      <w:r>
        <w:rPr>
          <w:rFonts w:eastAsia="仿宋_GB2312"/>
          <w:sz w:val="22"/>
          <w:szCs w:val="22"/>
        </w:rPr>
        <w:t xml:space="preserve">  试验用药品的管理</w:t>
      </w:r>
      <w:bookmarkEnd w:id="38"/>
      <w:bookmarkEnd w:id="39"/>
    </w:p>
    <w:p>
      <w:pPr>
        <w:spacing w:line="560" w:lineRule="exact"/>
        <w:ind w:firstLine="640" w:firstLineChars="200"/>
        <w:rPr>
          <w:rFonts w:eastAsia="仿宋_GB2312"/>
          <w:sz w:val="22"/>
          <w:szCs w:val="22"/>
        </w:rPr>
      </w:pPr>
      <w:r>
        <w:rPr>
          <w:rFonts w:eastAsia="仿宋_GB2312"/>
          <w:sz w:val="22"/>
          <w:szCs w:val="22"/>
        </w:rPr>
        <w:t>（一）主要研究者及其供职的医疗机构，对临床试验现场使用的试验用药品有管理责任。</w:t>
      </w:r>
    </w:p>
    <w:p>
      <w:pPr>
        <w:spacing w:line="560" w:lineRule="exact"/>
        <w:ind w:firstLine="640" w:firstLineChars="200"/>
        <w:rPr>
          <w:rFonts w:eastAsia="仿宋_GB2312"/>
          <w:sz w:val="22"/>
          <w:szCs w:val="22"/>
        </w:rPr>
      </w:pPr>
      <w:r>
        <w:rPr>
          <w:rFonts w:eastAsia="仿宋_GB2312"/>
          <w:sz w:val="22"/>
          <w:szCs w:val="22"/>
        </w:rPr>
        <w:t>（二）主要研究者及其供职的医疗机构应指派有资格的药师或其他人员管理试验用药品。</w:t>
      </w:r>
    </w:p>
    <w:p>
      <w:pPr>
        <w:spacing w:line="560" w:lineRule="exact"/>
        <w:ind w:firstLine="640" w:firstLineChars="200"/>
        <w:rPr>
          <w:rFonts w:eastAsia="仿宋_GB2312"/>
          <w:sz w:val="22"/>
          <w:szCs w:val="22"/>
        </w:rPr>
      </w:pPr>
      <w:r>
        <w:rPr>
          <w:rFonts w:eastAsia="仿宋_GB2312"/>
          <w:sz w:val="22"/>
          <w:szCs w:val="22"/>
        </w:rPr>
        <w:t>（三）试验用药品的接收、储存、分发、回收、退还及未使用药物的处置应遵守相应的规定并保留记录。</w:t>
      </w:r>
    </w:p>
    <w:p>
      <w:pPr>
        <w:spacing w:line="560" w:lineRule="exact"/>
        <w:ind w:firstLine="640" w:firstLineChars="200"/>
        <w:rPr>
          <w:rFonts w:eastAsia="仿宋_GB2312"/>
          <w:sz w:val="22"/>
          <w:szCs w:val="22"/>
        </w:rPr>
      </w:pPr>
      <w:r>
        <w:rPr>
          <w:rFonts w:eastAsia="仿宋_GB2312"/>
          <w:sz w:val="22"/>
          <w:szCs w:val="22"/>
        </w:rPr>
        <w:t>试验用药品管理的记录应包括日期、数量、批号/序列号、有效期和分配编码、签名等。研究者应保存每位受试者使用试验用药品数量和剂量的记录。试验用药品的使用数量和剩余数量应与申办者提供的数量一致。</w:t>
      </w:r>
    </w:p>
    <w:p>
      <w:pPr>
        <w:spacing w:line="560" w:lineRule="exact"/>
        <w:ind w:firstLine="640" w:firstLineChars="200"/>
        <w:rPr>
          <w:rFonts w:eastAsia="仿宋_GB2312"/>
          <w:sz w:val="22"/>
          <w:szCs w:val="22"/>
        </w:rPr>
      </w:pPr>
      <w:r>
        <w:rPr>
          <w:rFonts w:eastAsia="仿宋_GB2312"/>
          <w:sz w:val="22"/>
          <w:szCs w:val="22"/>
        </w:rPr>
        <w:t>（四）试验用药品的储存应符合相应的储存条件。</w:t>
      </w:r>
    </w:p>
    <w:p>
      <w:pPr>
        <w:spacing w:line="560" w:lineRule="exact"/>
        <w:ind w:firstLine="640" w:firstLineChars="200"/>
        <w:rPr>
          <w:rFonts w:eastAsia="仿宋_GB2312"/>
          <w:sz w:val="22"/>
          <w:szCs w:val="22"/>
        </w:rPr>
      </w:pPr>
      <w:r>
        <w:rPr>
          <w:rFonts w:eastAsia="仿宋_GB2312"/>
          <w:sz w:val="22"/>
          <w:szCs w:val="22"/>
        </w:rPr>
        <w:t>（五）研究者应确保试验用药品按照已批准的试验方案使用，应向每一位受试者说明试验用药品的正确使用方法。</w:t>
      </w:r>
    </w:p>
    <w:p>
      <w:pPr>
        <w:spacing w:line="560" w:lineRule="exact"/>
        <w:ind w:firstLine="640" w:firstLineChars="200"/>
        <w:rPr>
          <w:rFonts w:eastAsia="仿宋_GB2312"/>
          <w:sz w:val="22"/>
          <w:szCs w:val="22"/>
        </w:rPr>
      </w:pPr>
      <w:bookmarkStart w:id="40" w:name="_Toc452726043"/>
      <w:bookmarkStart w:id="41" w:name="_Toc454451283"/>
      <w:r>
        <w:rPr>
          <w:rFonts w:ascii="黑体" w:hAnsi="黑体" w:eastAsia="黑体"/>
          <w:sz w:val="22"/>
          <w:szCs w:val="22"/>
        </w:rPr>
        <w:t>第二十一条</w:t>
      </w:r>
      <w:r>
        <w:rPr>
          <w:rFonts w:eastAsia="仿宋_GB2312"/>
          <w:sz w:val="22"/>
          <w:szCs w:val="22"/>
        </w:rPr>
        <w:t xml:space="preserve">  随机化程序和揭盲</w:t>
      </w:r>
      <w:bookmarkEnd w:id="40"/>
      <w:bookmarkEnd w:id="41"/>
    </w:p>
    <w:p>
      <w:pPr>
        <w:spacing w:line="560" w:lineRule="exact"/>
        <w:ind w:firstLine="640" w:firstLineChars="200"/>
        <w:rPr>
          <w:rFonts w:eastAsia="仿宋_GB2312"/>
          <w:sz w:val="22"/>
          <w:szCs w:val="22"/>
        </w:rPr>
      </w:pPr>
      <w:r>
        <w:rPr>
          <w:rFonts w:eastAsia="仿宋_GB2312"/>
          <w:sz w:val="22"/>
          <w:szCs w:val="22"/>
        </w:rPr>
        <w:t>研究者应遵守临床试验的随机化程序。</w:t>
      </w:r>
    </w:p>
    <w:p>
      <w:pPr>
        <w:spacing w:line="560" w:lineRule="exact"/>
        <w:ind w:firstLine="640" w:firstLineChars="200"/>
        <w:rPr>
          <w:rFonts w:eastAsia="仿宋_GB2312"/>
          <w:sz w:val="22"/>
          <w:szCs w:val="22"/>
        </w:rPr>
      </w:pPr>
      <w:r>
        <w:rPr>
          <w:rFonts w:eastAsia="仿宋_GB2312"/>
          <w:sz w:val="22"/>
          <w:szCs w:val="22"/>
        </w:rPr>
        <w:t>盲法试验应按照试验方案的要求进行揭盲。若因严重不良事件（SAE）等情况需要紧急揭盲时，研究者应向申办者书面说明揭盲的原因。</w:t>
      </w:r>
    </w:p>
    <w:p>
      <w:pPr>
        <w:spacing w:line="560" w:lineRule="exact"/>
        <w:ind w:firstLine="640" w:firstLineChars="200"/>
        <w:rPr>
          <w:rFonts w:eastAsia="仿宋_GB2312"/>
          <w:sz w:val="22"/>
          <w:szCs w:val="22"/>
        </w:rPr>
      </w:pPr>
      <w:bookmarkStart w:id="42" w:name="_Toc454451284"/>
      <w:bookmarkStart w:id="43" w:name="_Toc452726044"/>
      <w:r>
        <w:rPr>
          <w:rFonts w:ascii="黑体" w:hAnsi="黑体" w:eastAsia="黑体"/>
          <w:sz w:val="22"/>
          <w:szCs w:val="22"/>
        </w:rPr>
        <w:t>第二十二条</w:t>
      </w:r>
      <w:r>
        <w:rPr>
          <w:rFonts w:eastAsia="仿宋_GB2312"/>
          <w:sz w:val="22"/>
          <w:szCs w:val="22"/>
        </w:rPr>
        <w:t xml:space="preserve">  受试者的知情同意</w:t>
      </w:r>
      <w:bookmarkEnd w:id="42"/>
      <w:bookmarkEnd w:id="43"/>
    </w:p>
    <w:p>
      <w:pPr>
        <w:spacing w:line="560" w:lineRule="exact"/>
        <w:ind w:firstLine="640" w:firstLineChars="200"/>
        <w:rPr>
          <w:rFonts w:eastAsia="仿宋_GB2312"/>
          <w:sz w:val="22"/>
          <w:szCs w:val="22"/>
        </w:rPr>
      </w:pPr>
      <w:r>
        <w:rPr>
          <w:rFonts w:eastAsia="仿宋_GB2312"/>
          <w:sz w:val="22"/>
          <w:szCs w:val="22"/>
        </w:rPr>
        <w:t>（一）在受试者知情同意的过程中，研究者必须遵守药品监督管理部门的法规要求，遵守本规范和赫尔辛基宣言的伦理原则。</w:t>
      </w:r>
    </w:p>
    <w:p>
      <w:pPr>
        <w:spacing w:line="560" w:lineRule="exact"/>
        <w:ind w:firstLine="640" w:firstLineChars="200"/>
        <w:rPr>
          <w:rFonts w:eastAsia="仿宋_GB2312"/>
          <w:sz w:val="22"/>
          <w:szCs w:val="22"/>
        </w:rPr>
      </w:pPr>
      <w:r>
        <w:rPr>
          <w:rFonts w:eastAsia="仿宋_GB2312"/>
          <w:sz w:val="22"/>
          <w:szCs w:val="22"/>
        </w:rPr>
        <w:t>知情同意书和其他提供给受试者的信息获得伦理委员会批准后，研究者方可开始临床试验。</w:t>
      </w:r>
    </w:p>
    <w:p>
      <w:pPr>
        <w:spacing w:line="560" w:lineRule="exact"/>
        <w:ind w:firstLine="640" w:firstLineChars="200"/>
        <w:rPr>
          <w:rFonts w:eastAsia="仿宋_GB2312"/>
          <w:sz w:val="22"/>
          <w:szCs w:val="22"/>
        </w:rPr>
      </w:pPr>
      <w:r>
        <w:rPr>
          <w:rFonts w:eastAsia="仿宋_GB2312"/>
          <w:sz w:val="22"/>
          <w:szCs w:val="22"/>
        </w:rPr>
        <w:t>（二）在临床试验过程中，研究者获得可能影响受试者继续参加试验的新信息时，应以知情同意书等书面形式及时告知受试者或其法定代理人。</w:t>
      </w:r>
    </w:p>
    <w:p>
      <w:pPr>
        <w:spacing w:line="560" w:lineRule="exact"/>
        <w:ind w:firstLine="640" w:firstLineChars="200"/>
        <w:rPr>
          <w:rFonts w:eastAsia="仿宋_GB2312"/>
          <w:sz w:val="22"/>
          <w:szCs w:val="22"/>
        </w:rPr>
      </w:pPr>
      <w:r>
        <w:rPr>
          <w:rFonts w:eastAsia="仿宋_GB2312"/>
          <w:sz w:val="22"/>
          <w:szCs w:val="22"/>
        </w:rPr>
        <w:t>所有需告知受试者的相关新信息，经伦理委员会批准后，受试者应再次签署知情同意书。新入选的受试者则应签署更新后的知情同意书和其他文字资料。</w:t>
      </w:r>
    </w:p>
    <w:p>
      <w:pPr>
        <w:spacing w:line="560" w:lineRule="exact"/>
        <w:ind w:firstLine="640" w:firstLineChars="200"/>
        <w:rPr>
          <w:rFonts w:eastAsia="仿宋_GB2312"/>
          <w:sz w:val="22"/>
          <w:szCs w:val="22"/>
        </w:rPr>
      </w:pPr>
      <w:r>
        <w:rPr>
          <w:rFonts w:eastAsia="仿宋_GB2312"/>
          <w:sz w:val="22"/>
          <w:szCs w:val="22"/>
        </w:rPr>
        <w:t>（三）研究者或其他任何研究人员，均不得采用强迫、利诱等不正当的方式影响受试者参加、继续参加临床试验。</w:t>
      </w:r>
    </w:p>
    <w:p>
      <w:pPr>
        <w:spacing w:line="560" w:lineRule="exact"/>
        <w:ind w:firstLine="640" w:firstLineChars="200"/>
        <w:rPr>
          <w:rFonts w:eastAsia="仿宋_GB2312"/>
          <w:sz w:val="22"/>
          <w:szCs w:val="22"/>
        </w:rPr>
      </w:pPr>
      <w:r>
        <w:rPr>
          <w:rFonts w:eastAsia="仿宋_GB2312"/>
          <w:sz w:val="22"/>
          <w:szCs w:val="22"/>
        </w:rPr>
        <w:t>（四）任何与试验相关的书面或口头信息，均不能采用任何使受试者及其法定代理人放弃其合法权益的语言，也不能含有为研究者及其供职的医疗机构、申办者及其代理机构免除其应负责任的语言。</w:t>
      </w:r>
    </w:p>
    <w:p>
      <w:pPr>
        <w:spacing w:line="560" w:lineRule="exact"/>
        <w:ind w:firstLine="640" w:firstLineChars="200"/>
        <w:rPr>
          <w:rFonts w:eastAsia="仿宋_GB2312"/>
          <w:sz w:val="22"/>
          <w:szCs w:val="22"/>
        </w:rPr>
      </w:pPr>
      <w:r>
        <w:rPr>
          <w:rFonts w:eastAsia="仿宋_GB2312"/>
          <w:sz w:val="22"/>
          <w:szCs w:val="22"/>
        </w:rPr>
        <w:t>（五）研究者或指定研究人员应充分告知受试者有关临床试验的所有相关事宜，包括书面信息和伦理委员会的批准意见。无能力表达知情同意的受试者应由其法定代理人代表其实施知情同意。</w:t>
      </w:r>
    </w:p>
    <w:p>
      <w:pPr>
        <w:spacing w:line="560" w:lineRule="exact"/>
        <w:ind w:firstLine="640" w:firstLineChars="200"/>
        <w:rPr>
          <w:rFonts w:eastAsia="仿宋_GB2312"/>
          <w:sz w:val="22"/>
          <w:szCs w:val="22"/>
        </w:rPr>
      </w:pPr>
      <w:r>
        <w:rPr>
          <w:rFonts w:eastAsia="仿宋_GB2312"/>
          <w:sz w:val="22"/>
          <w:szCs w:val="22"/>
        </w:rPr>
        <w:t>（六）提供给受试者的口头和书面资料，如知情同意书，均应采用通俗易懂的语言和表达方式，使受试者或其法定代理人、见证人易于理解。</w:t>
      </w:r>
    </w:p>
    <w:p>
      <w:pPr>
        <w:spacing w:line="560" w:lineRule="exact"/>
        <w:ind w:firstLine="640" w:firstLineChars="200"/>
        <w:rPr>
          <w:rFonts w:eastAsia="仿宋_GB2312"/>
          <w:sz w:val="22"/>
          <w:szCs w:val="22"/>
        </w:rPr>
      </w:pPr>
      <w:r>
        <w:rPr>
          <w:rFonts w:eastAsia="仿宋_GB2312"/>
          <w:sz w:val="22"/>
          <w:szCs w:val="22"/>
        </w:rPr>
        <w:t>（七）签署知情同意书之前，研究者或指定研究人员应给予受试者或其法定代理人充分的时间和机会了解试验的详细情况，并详尽回答受试者或其法定代理人提出的所有与试验相关的问题。</w:t>
      </w:r>
    </w:p>
    <w:p>
      <w:pPr>
        <w:spacing w:line="560" w:lineRule="exact"/>
        <w:ind w:firstLine="640" w:firstLineChars="200"/>
        <w:rPr>
          <w:rFonts w:eastAsia="仿宋_GB2312"/>
          <w:sz w:val="22"/>
          <w:szCs w:val="22"/>
        </w:rPr>
      </w:pPr>
      <w:r>
        <w:rPr>
          <w:rFonts w:eastAsia="仿宋_GB2312"/>
          <w:sz w:val="22"/>
          <w:szCs w:val="22"/>
        </w:rPr>
        <w:t>（八）受试者或其法定代理人，以及执行知情同意的研究者应在知情同意书上分别签名并注明日期。</w:t>
      </w:r>
    </w:p>
    <w:p>
      <w:pPr>
        <w:spacing w:line="560" w:lineRule="exact"/>
        <w:ind w:firstLine="640" w:firstLineChars="200"/>
        <w:rPr>
          <w:rFonts w:eastAsia="仿宋_GB2312"/>
          <w:sz w:val="22"/>
          <w:szCs w:val="22"/>
        </w:rPr>
      </w:pPr>
      <w:r>
        <w:rPr>
          <w:rFonts w:eastAsia="仿宋_GB2312"/>
          <w:sz w:val="22"/>
          <w:szCs w:val="22"/>
        </w:rPr>
        <w:t>（九）知情同意过程中，若受试者或其法定代理人均缺乏阅读能力，须有一位公正的见证人协助和见证知情同意。</w:t>
      </w:r>
    </w:p>
    <w:p>
      <w:pPr>
        <w:spacing w:line="560" w:lineRule="exact"/>
        <w:ind w:firstLine="640" w:firstLineChars="200"/>
        <w:rPr>
          <w:rFonts w:eastAsia="仿宋_GB2312"/>
          <w:sz w:val="22"/>
          <w:szCs w:val="22"/>
        </w:rPr>
      </w:pPr>
      <w:r>
        <w:rPr>
          <w:rFonts w:eastAsia="仿宋_GB2312"/>
          <w:sz w:val="22"/>
          <w:szCs w:val="22"/>
        </w:rPr>
        <w:t>研究者应向受试者或其法定代理人、见证人详细说明知情同意书和其他文字资料的内容。如受试者或其法定代理人口头同意参加试验，并签署知情同意书后，见证人还须在知情同意书上签字并注明日期，以证明受试者或其法定代理人就知情同意书和其他文字资料得到了研究者准确地解释，并理解了相关内容，同意参加临床试验。</w:t>
      </w:r>
    </w:p>
    <w:p>
      <w:pPr>
        <w:spacing w:line="560" w:lineRule="exact"/>
        <w:ind w:firstLine="640" w:firstLineChars="200"/>
        <w:rPr>
          <w:rFonts w:eastAsia="仿宋_GB2312"/>
          <w:sz w:val="22"/>
          <w:szCs w:val="22"/>
        </w:rPr>
      </w:pPr>
      <w:r>
        <w:rPr>
          <w:rFonts w:eastAsia="仿宋_GB2312"/>
          <w:sz w:val="22"/>
          <w:szCs w:val="22"/>
        </w:rPr>
        <w:t>（十）受试者或其法定代理人应得到一份已签署姓名和日期的知情同意书副本和其他提供给受试者的书面资料；试验期间，受试者或其法定代理人应得到已签署姓名和日期的更新版知情同意书副本，</w:t>
      </w:r>
      <w:r>
        <w:rPr>
          <w:rFonts w:hint="eastAsia" w:eastAsia="仿宋_GB2312"/>
          <w:sz w:val="22"/>
          <w:szCs w:val="22"/>
        </w:rPr>
        <w:t>以及</w:t>
      </w:r>
      <w:r>
        <w:rPr>
          <w:rFonts w:eastAsia="仿宋_GB2312"/>
          <w:sz w:val="22"/>
          <w:szCs w:val="22"/>
        </w:rPr>
        <w:t>其他书面资料的修订文本。</w:t>
      </w:r>
    </w:p>
    <w:p>
      <w:pPr>
        <w:spacing w:line="560" w:lineRule="exact"/>
        <w:ind w:firstLine="640" w:firstLineChars="200"/>
        <w:rPr>
          <w:rFonts w:eastAsia="仿宋_GB2312"/>
          <w:sz w:val="22"/>
          <w:szCs w:val="22"/>
        </w:rPr>
      </w:pPr>
      <w:r>
        <w:rPr>
          <w:rFonts w:eastAsia="仿宋_GB2312"/>
          <w:sz w:val="22"/>
          <w:szCs w:val="22"/>
        </w:rPr>
        <w:t>（十一）当法定代理人代表受试者知情同意时，应尽可能告知和帮助受试者理解临床试验的相关信息，并尽可能让受试者亲自签署知情同意书和注明日期。</w:t>
      </w:r>
    </w:p>
    <w:p>
      <w:pPr>
        <w:spacing w:line="560" w:lineRule="exact"/>
        <w:ind w:firstLine="640" w:firstLineChars="200"/>
        <w:rPr>
          <w:rFonts w:eastAsia="仿宋_GB2312"/>
          <w:sz w:val="22"/>
          <w:szCs w:val="22"/>
        </w:rPr>
      </w:pPr>
      <w:r>
        <w:rPr>
          <w:rFonts w:eastAsia="仿宋_GB2312"/>
          <w:sz w:val="22"/>
          <w:szCs w:val="22"/>
        </w:rPr>
        <w:t>当受试者参加非治疗性试验，且无可预期的临床获益时，受试者必须在知情同意书上签字同意和注明日期。</w:t>
      </w:r>
    </w:p>
    <w:p>
      <w:pPr>
        <w:spacing w:line="560" w:lineRule="exact"/>
        <w:ind w:firstLine="640" w:firstLineChars="200"/>
        <w:rPr>
          <w:rFonts w:eastAsia="仿宋_GB2312"/>
          <w:sz w:val="22"/>
          <w:szCs w:val="22"/>
        </w:rPr>
      </w:pPr>
      <w:r>
        <w:rPr>
          <w:rFonts w:eastAsia="仿宋_GB2312"/>
          <w:sz w:val="22"/>
          <w:szCs w:val="22"/>
        </w:rPr>
        <w:t>（十二）紧急情况下，参加临床试验前不能获得受试者的知情同意时，必须得到受试者的法定代理人同意。若受试者不能事先知情同意，且其法定代理人也不在场的情况下，受试者的入选方式应在临床试验方案和/或其他文件中清楚表述，并获得伦理委员会的书面批准；同时应尽快得到受试者或其法定代理人可以继续参加临床试验的知情同意。</w:t>
      </w:r>
    </w:p>
    <w:p>
      <w:pPr>
        <w:spacing w:line="560" w:lineRule="exact"/>
        <w:ind w:firstLine="640" w:firstLineChars="200"/>
        <w:rPr>
          <w:rFonts w:eastAsia="仿宋_GB2312"/>
          <w:sz w:val="22"/>
          <w:szCs w:val="22"/>
        </w:rPr>
      </w:pPr>
      <w:r>
        <w:rPr>
          <w:rFonts w:eastAsia="仿宋_GB2312"/>
          <w:sz w:val="22"/>
          <w:szCs w:val="22"/>
        </w:rPr>
        <w:t>（十三）非治疗性试验由法定代理人代表受试者同意参加试验时，须满足以下条件：临床试验只能在无知情同意能力的受试者中进行；受试者无知情同意能力；受试者的预期风险低；受试者健康的负面影响已减至最低，且法律不禁止该类试验的实施；该类受试者的入选已经得到伦理委员会审查批准。</w:t>
      </w:r>
    </w:p>
    <w:p>
      <w:pPr>
        <w:spacing w:line="560" w:lineRule="exact"/>
        <w:ind w:firstLine="640" w:firstLineChars="200"/>
        <w:rPr>
          <w:rFonts w:eastAsia="仿宋_GB2312"/>
          <w:sz w:val="22"/>
          <w:szCs w:val="22"/>
        </w:rPr>
      </w:pPr>
      <w:r>
        <w:rPr>
          <w:rFonts w:eastAsia="仿宋_GB2312"/>
          <w:sz w:val="22"/>
          <w:szCs w:val="22"/>
        </w:rPr>
        <w:t>除非是例外情况，非治疗性试验只能在患有试验药物适用的疾病或状况的患者中进行。在试验进行中应严密观察受试者，若受试者出现过度痛苦或不适的表现，应让其退出试验。</w:t>
      </w:r>
    </w:p>
    <w:p>
      <w:pPr>
        <w:spacing w:line="560" w:lineRule="exact"/>
        <w:ind w:firstLine="640" w:firstLineChars="200"/>
        <w:rPr>
          <w:rFonts w:eastAsia="仿宋_GB2312"/>
          <w:sz w:val="22"/>
          <w:szCs w:val="22"/>
        </w:rPr>
      </w:pPr>
      <w:bookmarkStart w:id="44" w:name="_Toc452726045"/>
      <w:bookmarkStart w:id="45" w:name="_Toc454451285"/>
      <w:r>
        <w:rPr>
          <w:rFonts w:ascii="黑体" w:hAnsi="黑体" w:eastAsia="黑体"/>
          <w:sz w:val="22"/>
          <w:szCs w:val="22"/>
        </w:rPr>
        <w:t>第二十三条</w:t>
      </w:r>
      <w:r>
        <w:rPr>
          <w:rFonts w:eastAsia="仿宋_GB2312"/>
          <w:sz w:val="22"/>
          <w:szCs w:val="22"/>
        </w:rPr>
        <w:t xml:space="preserve">  知情同意书和其他文字资料须包括：</w:t>
      </w:r>
      <w:bookmarkEnd w:id="44"/>
      <w:bookmarkEnd w:id="45"/>
    </w:p>
    <w:p>
      <w:pPr>
        <w:spacing w:line="560" w:lineRule="exact"/>
        <w:ind w:firstLine="640" w:firstLineChars="200"/>
        <w:rPr>
          <w:rFonts w:eastAsia="仿宋_GB2312"/>
          <w:sz w:val="22"/>
          <w:szCs w:val="22"/>
        </w:rPr>
      </w:pPr>
      <w:r>
        <w:rPr>
          <w:rFonts w:eastAsia="仿宋_GB2312"/>
          <w:sz w:val="22"/>
          <w:szCs w:val="22"/>
        </w:rPr>
        <w:t>（一）临床试验的研究性</w:t>
      </w:r>
      <w:r>
        <w:rPr>
          <w:rFonts w:hint="eastAsia" w:eastAsia="仿宋_GB2312"/>
          <w:sz w:val="22"/>
          <w:szCs w:val="22"/>
        </w:rPr>
        <w:t>。</w:t>
      </w:r>
    </w:p>
    <w:p>
      <w:pPr>
        <w:spacing w:line="560" w:lineRule="exact"/>
        <w:ind w:firstLine="640" w:firstLineChars="200"/>
        <w:rPr>
          <w:rFonts w:eastAsia="仿宋_GB2312"/>
          <w:sz w:val="22"/>
          <w:szCs w:val="22"/>
        </w:rPr>
      </w:pPr>
      <w:r>
        <w:rPr>
          <w:rFonts w:eastAsia="仿宋_GB2312"/>
          <w:sz w:val="22"/>
          <w:szCs w:val="22"/>
        </w:rPr>
        <w:t>（二）试验目的</w:t>
      </w:r>
      <w:r>
        <w:rPr>
          <w:rFonts w:hint="eastAsia" w:eastAsia="仿宋_GB2312"/>
          <w:sz w:val="22"/>
          <w:szCs w:val="22"/>
        </w:rPr>
        <w:t>。</w:t>
      </w:r>
    </w:p>
    <w:p>
      <w:pPr>
        <w:spacing w:line="560" w:lineRule="exact"/>
        <w:ind w:firstLine="640" w:firstLineChars="200"/>
        <w:rPr>
          <w:rFonts w:eastAsia="仿宋_GB2312"/>
          <w:sz w:val="22"/>
          <w:szCs w:val="22"/>
        </w:rPr>
      </w:pPr>
      <w:r>
        <w:rPr>
          <w:rFonts w:eastAsia="仿宋_GB2312"/>
          <w:sz w:val="22"/>
          <w:szCs w:val="22"/>
        </w:rPr>
        <w:t>（三）试验治疗和随机分配至各组的可能性</w:t>
      </w:r>
      <w:r>
        <w:rPr>
          <w:rFonts w:hint="eastAsia" w:eastAsia="仿宋_GB2312"/>
          <w:sz w:val="22"/>
          <w:szCs w:val="22"/>
        </w:rPr>
        <w:t>。</w:t>
      </w:r>
    </w:p>
    <w:p>
      <w:pPr>
        <w:spacing w:line="560" w:lineRule="exact"/>
        <w:ind w:firstLine="640" w:firstLineChars="200"/>
        <w:rPr>
          <w:rFonts w:eastAsia="仿宋_GB2312"/>
          <w:sz w:val="22"/>
          <w:szCs w:val="22"/>
        </w:rPr>
      </w:pPr>
      <w:r>
        <w:rPr>
          <w:rFonts w:eastAsia="仿宋_GB2312"/>
          <w:sz w:val="22"/>
          <w:szCs w:val="22"/>
        </w:rPr>
        <w:t>（四）受试者需要遵守的试验步骤，包括有创性医疗操作</w:t>
      </w:r>
      <w:r>
        <w:rPr>
          <w:rFonts w:hint="eastAsia" w:eastAsia="仿宋_GB2312"/>
          <w:sz w:val="22"/>
          <w:szCs w:val="22"/>
        </w:rPr>
        <w:t>。</w:t>
      </w:r>
    </w:p>
    <w:p>
      <w:pPr>
        <w:spacing w:line="560" w:lineRule="exact"/>
        <w:ind w:firstLine="640" w:firstLineChars="200"/>
        <w:rPr>
          <w:rFonts w:eastAsia="仿宋_GB2312"/>
          <w:sz w:val="22"/>
          <w:szCs w:val="22"/>
        </w:rPr>
      </w:pPr>
      <w:r>
        <w:rPr>
          <w:rFonts w:eastAsia="仿宋_GB2312"/>
          <w:sz w:val="22"/>
          <w:szCs w:val="22"/>
        </w:rPr>
        <w:t>（五）受试者的责任</w:t>
      </w:r>
      <w:r>
        <w:rPr>
          <w:rFonts w:hint="eastAsia" w:eastAsia="仿宋_GB2312"/>
          <w:sz w:val="22"/>
          <w:szCs w:val="22"/>
        </w:rPr>
        <w:t>。</w:t>
      </w:r>
    </w:p>
    <w:p>
      <w:pPr>
        <w:spacing w:line="560" w:lineRule="exact"/>
        <w:ind w:firstLine="640" w:firstLineChars="200"/>
        <w:rPr>
          <w:rFonts w:eastAsia="仿宋_GB2312"/>
          <w:sz w:val="22"/>
          <w:szCs w:val="22"/>
        </w:rPr>
      </w:pPr>
      <w:r>
        <w:rPr>
          <w:rFonts w:eastAsia="仿宋_GB2312"/>
          <w:sz w:val="22"/>
          <w:szCs w:val="22"/>
        </w:rPr>
        <w:t>（六）临床试验所涉及试验性的内容</w:t>
      </w:r>
      <w:r>
        <w:rPr>
          <w:rFonts w:hint="eastAsia" w:eastAsia="仿宋_GB2312"/>
          <w:sz w:val="22"/>
          <w:szCs w:val="22"/>
        </w:rPr>
        <w:t>。</w:t>
      </w:r>
    </w:p>
    <w:p>
      <w:pPr>
        <w:spacing w:line="560" w:lineRule="exact"/>
        <w:ind w:firstLine="640" w:firstLineChars="200"/>
        <w:rPr>
          <w:rFonts w:eastAsia="仿宋_GB2312"/>
          <w:sz w:val="22"/>
          <w:szCs w:val="22"/>
        </w:rPr>
      </w:pPr>
      <w:r>
        <w:rPr>
          <w:rFonts w:eastAsia="仿宋_GB2312"/>
          <w:sz w:val="22"/>
          <w:szCs w:val="22"/>
        </w:rPr>
        <w:t>（七）试验可能致受试者的风险或不便，尤其是存在影响胚胎、胎儿或哺乳婴儿的风险时</w:t>
      </w:r>
      <w:r>
        <w:rPr>
          <w:rFonts w:hint="eastAsia" w:eastAsia="仿宋_GB2312"/>
          <w:sz w:val="22"/>
          <w:szCs w:val="22"/>
        </w:rPr>
        <w:t>。</w:t>
      </w:r>
    </w:p>
    <w:p>
      <w:pPr>
        <w:spacing w:line="560" w:lineRule="exact"/>
        <w:ind w:firstLine="640" w:firstLineChars="200"/>
        <w:rPr>
          <w:rFonts w:eastAsia="仿宋_GB2312"/>
          <w:sz w:val="22"/>
          <w:szCs w:val="22"/>
        </w:rPr>
      </w:pPr>
      <w:r>
        <w:rPr>
          <w:rFonts w:eastAsia="仿宋_GB2312"/>
          <w:sz w:val="22"/>
          <w:szCs w:val="22"/>
        </w:rPr>
        <w:t>（八）试验预期的获益，以及不能获益的可能性</w:t>
      </w:r>
      <w:r>
        <w:rPr>
          <w:rFonts w:hint="eastAsia" w:eastAsia="仿宋_GB2312"/>
          <w:sz w:val="22"/>
          <w:szCs w:val="22"/>
        </w:rPr>
        <w:t>。</w:t>
      </w:r>
    </w:p>
    <w:p>
      <w:pPr>
        <w:spacing w:line="560" w:lineRule="exact"/>
        <w:ind w:firstLine="640" w:firstLineChars="200"/>
        <w:rPr>
          <w:rFonts w:eastAsia="仿宋_GB2312"/>
          <w:sz w:val="22"/>
          <w:szCs w:val="22"/>
        </w:rPr>
      </w:pPr>
      <w:r>
        <w:rPr>
          <w:rFonts w:eastAsia="仿宋_GB2312"/>
          <w:sz w:val="22"/>
          <w:szCs w:val="22"/>
        </w:rPr>
        <w:t>（九）其他可选的药物和治疗方法，及其重要的潜在获益和风险</w:t>
      </w:r>
      <w:r>
        <w:rPr>
          <w:rFonts w:hint="eastAsia" w:eastAsia="仿宋_GB2312"/>
          <w:sz w:val="22"/>
          <w:szCs w:val="22"/>
        </w:rPr>
        <w:t>。</w:t>
      </w:r>
    </w:p>
    <w:p>
      <w:pPr>
        <w:spacing w:line="560" w:lineRule="exact"/>
        <w:ind w:firstLine="640" w:firstLineChars="200"/>
        <w:rPr>
          <w:rFonts w:eastAsia="仿宋_GB2312"/>
          <w:spacing w:val="-12"/>
          <w:sz w:val="22"/>
          <w:szCs w:val="22"/>
        </w:rPr>
      </w:pPr>
      <w:r>
        <w:rPr>
          <w:rFonts w:eastAsia="仿宋_GB2312"/>
          <w:sz w:val="22"/>
          <w:szCs w:val="22"/>
        </w:rPr>
        <w:t>（十）</w:t>
      </w:r>
      <w:r>
        <w:rPr>
          <w:rFonts w:eastAsia="仿宋_GB2312"/>
          <w:spacing w:val="-12"/>
          <w:sz w:val="22"/>
          <w:szCs w:val="22"/>
        </w:rPr>
        <w:t>受试者发生与试验相关的损害时，可获得补偿和/或治疗</w:t>
      </w:r>
      <w:r>
        <w:rPr>
          <w:rFonts w:hint="eastAsia" w:eastAsia="仿宋_GB2312"/>
          <w:spacing w:val="-12"/>
          <w:sz w:val="22"/>
          <w:szCs w:val="22"/>
        </w:rPr>
        <w:t>。</w:t>
      </w:r>
    </w:p>
    <w:p>
      <w:pPr>
        <w:spacing w:line="560" w:lineRule="exact"/>
        <w:ind w:firstLine="640" w:firstLineChars="200"/>
        <w:rPr>
          <w:rFonts w:eastAsia="仿宋_GB2312"/>
          <w:sz w:val="22"/>
          <w:szCs w:val="22"/>
        </w:rPr>
      </w:pPr>
      <w:r>
        <w:rPr>
          <w:rFonts w:eastAsia="仿宋_GB2312"/>
          <w:sz w:val="22"/>
          <w:szCs w:val="22"/>
        </w:rPr>
        <w:t>（十一）受试者参加临床试验可能获得的补偿</w:t>
      </w:r>
      <w:r>
        <w:rPr>
          <w:rFonts w:hint="eastAsia" w:eastAsia="仿宋_GB2312"/>
          <w:sz w:val="22"/>
          <w:szCs w:val="22"/>
        </w:rPr>
        <w:t>。</w:t>
      </w:r>
    </w:p>
    <w:p>
      <w:pPr>
        <w:spacing w:line="560" w:lineRule="exact"/>
        <w:ind w:firstLine="640" w:firstLineChars="200"/>
        <w:rPr>
          <w:rFonts w:eastAsia="仿宋_GB2312"/>
          <w:sz w:val="22"/>
          <w:szCs w:val="22"/>
        </w:rPr>
      </w:pPr>
      <w:r>
        <w:rPr>
          <w:rFonts w:eastAsia="仿宋_GB2312"/>
          <w:sz w:val="22"/>
          <w:szCs w:val="22"/>
        </w:rPr>
        <w:t>（十二）受试者参加临床试验预期的花费</w:t>
      </w:r>
      <w:r>
        <w:rPr>
          <w:rFonts w:hint="eastAsia" w:eastAsia="仿宋_GB2312"/>
          <w:sz w:val="22"/>
          <w:szCs w:val="22"/>
        </w:rPr>
        <w:t>。</w:t>
      </w:r>
    </w:p>
    <w:p>
      <w:pPr>
        <w:spacing w:line="560" w:lineRule="exact"/>
        <w:ind w:firstLine="640" w:firstLineChars="200"/>
        <w:rPr>
          <w:rFonts w:eastAsia="仿宋_GB2312"/>
          <w:sz w:val="22"/>
          <w:szCs w:val="22"/>
        </w:rPr>
      </w:pPr>
      <w:r>
        <w:rPr>
          <w:rFonts w:eastAsia="仿宋_GB2312"/>
          <w:sz w:val="22"/>
          <w:szCs w:val="22"/>
        </w:rPr>
        <w:t>（十三）受试者参加试验是自愿的，可以拒绝参加或有权在试验任何阶段随时退出试验而不会遭到歧视或报复，其医疗待遇与权益不会受到影响</w:t>
      </w:r>
      <w:r>
        <w:rPr>
          <w:rFonts w:hint="eastAsia" w:eastAsia="仿宋_GB2312"/>
          <w:sz w:val="22"/>
          <w:szCs w:val="22"/>
        </w:rPr>
        <w:t>。</w:t>
      </w:r>
    </w:p>
    <w:p>
      <w:pPr>
        <w:spacing w:line="560" w:lineRule="exact"/>
        <w:ind w:firstLine="640" w:firstLineChars="200"/>
        <w:rPr>
          <w:rFonts w:eastAsia="仿宋_GB2312"/>
          <w:sz w:val="22"/>
          <w:szCs w:val="22"/>
        </w:rPr>
      </w:pPr>
      <w:r>
        <w:rPr>
          <w:rFonts w:eastAsia="仿宋_GB2312"/>
          <w:sz w:val="22"/>
          <w:szCs w:val="22"/>
        </w:rPr>
        <w:t>（十四）在不违反保密原则和相关法规的情况下，监查员、稽查员、伦理委员会和药品监督管理部门人员可以查阅受试者的原始医学记录，以核实临床试验的过程和数据</w:t>
      </w:r>
      <w:r>
        <w:rPr>
          <w:rFonts w:hint="eastAsia" w:eastAsia="仿宋_GB2312"/>
          <w:sz w:val="22"/>
          <w:szCs w:val="22"/>
        </w:rPr>
        <w:t>。</w:t>
      </w:r>
    </w:p>
    <w:p>
      <w:pPr>
        <w:spacing w:line="560" w:lineRule="exact"/>
        <w:ind w:firstLine="640" w:firstLineChars="200"/>
        <w:rPr>
          <w:rFonts w:eastAsia="仿宋_GB2312"/>
          <w:spacing w:val="2"/>
          <w:sz w:val="22"/>
          <w:szCs w:val="22"/>
        </w:rPr>
      </w:pPr>
      <w:r>
        <w:rPr>
          <w:rFonts w:eastAsia="仿宋_GB2312"/>
          <w:sz w:val="22"/>
          <w:szCs w:val="22"/>
        </w:rPr>
        <w:t>（十五）</w:t>
      </w:r>
      <w:r>
        <w:rPr>
          <w:rFonts w:eastAsia="仿宋_GB2312"/>
          <w:spacing w:val="2"/>
          <w:sz w:val="22"/>
          <w:szCs w:val="22"/>
        </w:rPr>
        <w:t>除法规允许外，受试者参加临床试验的相关记录应保密，不得公开。如果发布试验结果，受试者的身份信息仍应保密</w:t>
      </w:r>
      <w:r>
        <w:rPr>
          <w:rFonts w:hint="eastAsia" w:eastAsia="仿宋_GB2312"/>
          <w:spacing w:val="2"/>
          <w:sz w:val="22"/>
          <w:szCs w:val="22"/>
        </w:rPr>
        <w:t>。</w:t>
      </w:r>
    </w:p>
    <w:p>
      <w:pPr>
        <w:spacing w:line="560" w:lineRule="exact"/>
        <w:ind w:firstLine="640" w:firstLineChars="200"/>
        <w:rPr>
          <w:rFonts w:eastAsia="仿宋_GB2312"/>
          <w:sz w:val="22"/>
          <w:szCs w:val="22"/>
        </w:rPr>
      </w:pPr>
      <w:r>
        <w:rPr>
          <w:rFonts w:eastAsia="仿宋_GB2312"/>
          <w:sz w:val="22"/>
          <w:szCs w:val="22"/>
        </w:rPr>
        <w:t>（十六）如有新的影响受试者继续参加试验的信息时，应及时告知受试者或其法定代理人</w:t>
      </w:r>
      <w:r>
        <w:rPr>
          <w:rFonts w:hint="eastAsia" w:eastAsia="仿宋_GB2312"/>
          <w:sz w:val="22"/>
          <w:szCs w:val="22"/>
        </w:rPr>
        <w:t>。</w:t>
      </w:r>
    </w:p>
    <w:p>
      <w:pPr>
        <w:spacing w:line="560" w:lineRule="exact"/>
        <w:ind w:firstLine="640" w:firstLineChars="200"/>
        <w:rPr>
          <w:rFonts w:eastAsia="仿宋_GB2312"/>
          <w:sz w:val="22"/>
          <w:szCs w:val="22"/>
        </w:rPr>
      </w:pPr>
      <w:r>
        <w:rPr>
          <w:rFonts w:eastAsia="仿宋_GB2312"/>
          <w:sz w:val="22"/>
          <w:szCs w:val="22"/>
        </w:rPr>
        <w:t>（十七）当存在有关试验信息和受试者权益的问题，以及发生试验相关损害时，受试者可联系的研究者及联系方式</w:t>
      </w:r>
      <w:r>
        <w:rPr>
          <w:rFonts w:hint="eastAsia" w:eastAsia="仿宋_GB2312"/>
          <w:sz w:val="22"/>
          <w:szCs w:val="22"/>
        </w:rPr>
        <w:t>。</w:t>
      </w:r>
    </w:p>
    <w:p>
      <w:pPr>
        <w:spacing w:line="560" w:lineRule="exact"/>
        <w:ind w:firstLine="640" w:firstLineChars="200"/>
        <w:rPr>
          <w:rFonts w:eastAsia="仿宋_GB2312"/>
          <w:sz w:val="22"/>
          <w:szCs w:val="22"/>
        </w:rPr>
      </w:pPr>
      <w:r>
        <w:rPr>
          <w:rFonts w:eastAsia="仿宋_GB2312"/>
          <w:sz w:val="22"/>
          <w:szCs w:val="22"/>
        </w:rPr>
        <w:t>（十八）受试者可能被终止试验的情况和/或理由</w:t>
      </w:r>
      <w:r>
        <w:rPr>
          <w:rFonts w:hint="eastAsia" w:eastAsia="仿宋_GB2312"/>
          <w:sz w:val="22"/>
          <w:szCs w:val="22"/>
        </w:rPr>
        <w:t>。</w:t>
      </w:r>
    </w:p>
    <w:p>
      <w:pPr>
        <w:spacing w:line="560" w:lineRule="exact"/>
        <w:ind w:firstLine="640" w:firstLineChars="200"/>
        <w:rPr>
          <w:rFonts w:eastAsia="仿宋_GB2312"/>
          <w:sz w:val="22"/>
          <w:szCs w:val="22"/>
        </w:rPr>
      </w:pPr>
      <w:r>
        <w:rPr>
          <w:rFonts w:eastAsia="仿宋_GB2312"/>
          <w:sz w:val="22"/>
          <w:szCs w:val="22"/>
        </w:rPr>
        <w:t>（十九）受试者参加试验的预期持续时间</w:t>
      </w:r>
      <w:r>
        <w:rPr>
          <w:rFonts w:hint="eastAsia" w:eastAsia="仿宋_GB2312"/>
          <w:sz w:val="22"/>
          <w:szCs w:val="22"/>
        </w:rPr>
        <w:t>。</w:t>
      </w:r>
    </w:p>
    <w:p>
      <w:pPr>
        <w:spacing w:line="560" w:lineRule="exact"/>
        <w:ind w:firstLine="640" w:firstLineChars="200"/>
        <w:rPr>
          <w:rFonts w:eastAsia="仿宋_GB2312"/>
          <w:sz w:val="22"/>
          <w:szCs w:val="22"/>
        </w:rPr>
      </w:pPr>
      <w:r>
        <w:rPr>
          <w:rFonts w:eastAsia="仿宋_GB2312"/>
          <w:sz w:val="22"/>
          <w:szCs w:val="22"/>
        </w:rPr>
        <w:t>（二十）参加该试验的预计受试者人数。</w:t>
      </w:r>
    </w:p>
    <w:p>
      <w:pPr>
        <w:spacing w:line="560" w:lineRule="exact"/>
        <w:ind w:firstLine="640" w:firstLineChars="200"/>
        <w:rPr>
          <w:rFonts w:eastAsia="仿宋_GB2312"/>
          <w:sz w:val="22"/>
          <w:szCs w:val="22"/>
        </w:rPr>
      </w:pPr>
      <w:bookmarkStart w:id="46" w:name="_Toc452726046"/>
      <w:bookmarkStart w:id="47" w:name="_Toc454451286"/>
      <w:r>
        <w:rPr>
          <w:rFonts w:ascii="黑体" w:hAnsi="黑体" w:eastAsia="黑体"/>
          <w:sz w:val="22"/>
          <w:szCs w:val="22"/>
        </w:rPr>
        <w:t>第二十四条</w:t>
      </w:r>
      <w:r>
        <w:rPr>
          <w:rFonts w:eastAsia="仿宋_GB2312"/>
          <w:sz w:val="22"/>
          <w:szCs w:val="22"/>
        </w:rPr>
        <w:t xml:space="preserve">  试验记录和报告</w:t>
      </w:r>
      <w:bookmarkEnd w:id="46"/>
      <w:bookmarkEnd w:id="47"/>
    </w:p>
    <w:p>
      <w:pPr>
        <w:spacing w:line="560" w:lineRule="exact"/>
        <w:ind w:firstLine="640" w:firstLineChars="200"/>
        <w:rPr>
          <w:rFonts w:eastAsia="仿宋_GB2312"/>
          <w:sz w:val="22"/>
          <w:szCs w:val="22"/>
        </w:rPr>
      </w:pPr>
      <w:r>
        <w:rPr>
          <w:rFonts w:eastAsia="仿宋_GB2312"/>
          <w:sz w:val="22"/>
          <w:szCs w:val="22"/>
        </w:rPr>
        <w:t>（一）主要研究者应监督临床试验现场的数据采集、各研究人员履行其工作职责的情况。</w:t>
      </w:r>
    </w:p>
    <w:p>
      <w:pPr>
        <w:spacing w:line="580" w:lineRule="exact"/>
        <w:ind w:firstLine="640" w:firstLineChars="200"/>
        <w:rPr>
          <w:rFonts w:eastAsia="仿宋_GB2312"/>
          <w:sz w:val="22"/>
          <w:szCs w:val="22"/>
        </w:rPr>
      </w:pPr>
      <w:r>
        <w:rPr>
          <w:rFonts w:eastAsia="仿宋_GB2312"/>
          <w:sz w:val="22"/>
          <w:szCs w:val="22"/>
        </w:rPr>
        <w:t>（二）研究者应确保所有临床试验数据，是从临床试验的源文件和试验记录中获得的，是准确、完整、可读和及时的。源数据是可溯源的、清晰的、同步记录的、原始的、准确的和完整的。源数据的修正必须留痕，不能掩盖初始数据，需要时应解释修正数据的理由和依据。</w:t>
      </w:r>
    </w:p>
    <w:p>
      <w:pPr>
        <w:spacing w:line="580" w:lineRule="exact"/>
        <w:ind w:firstLine="640" w:firstLineChars="200"/>
        <w:rPr>
          <w:rFonts w:eastAsia="仿宋_GB2312"/>
          <w:sz w:val="22"/>
          <w:szCs w:val="22"/>
        </w:rPr>
      </w:pPr>
      <w:r>
        <w:rPr>
          <w:rFonts w:eastAsia="仿宋_GB2312"/>
          <w:sz w:val="22"/>
          <w:szCs w:val="22"/>
        </w:rPr>
        <w:t>（三）研究者应按照申办者提供的指南填写和修改病例报告表</w:t>
      </w:r>
      <w:r>
        <w:rPr>
          <w:rFonts w:hint="eastAsia" w:eastAsia="仿宋_GB2312"/>
          <w:sz w:val="22"/>
          <w:szCs w:val="22"/>
        </w:rPr>
        <w:t>（</w:t>
      </w:r>
      <w:r>
        <w:rPr>
          <w:rFonts w:eastAsia="仿宋_GB2312"/>
          <w:sz w:val="22"/>
          <w:szCs w:val="22"/>
        </w:rPr>
        <w:t>CRF</w:t>
      </w:r>
      <w:r>
        <w:rPr>
          <w:rFonts w:hint="eastAsia" w:eastAsia="仿宋_GB2312"/>
          <w:sz w:val="22"/>
          <w:szCs w:val="22"/>
        </w:rPr>
        <w:t>）</w:t>
      </w:r>
      <w:r>
        <w:rPr>
          <w:rFonts w:eastAsia="仿宋_GB2312"/>
          <w:sz w:val="22"/>
          <w:szCs w:val="22"/>
        </w:rPr>
        <w:t>，确保各类CRF及其他报告中的数据准确、完整、清晰和及时。CRF中报告的数据应与源文件一致，若存在不一致应做出合理的解释。CRF中任何数据的修改，应使初始记录清晰可辨，保留修改轨迹，需要时解释理由，修改者签名并注明日期。</w:t>
      </w:r>
    </w:p>
    <w:p>
      <w:pPr>
        <w:spacing w:line="580" w:lineRule="exact"/>
        <w:ind w:firstLine="640" w:firstLineChars="200"/>
        <w:rPr>
          <w:rFonts w:eastAsia="仿宋_GB2312"/>
          <w:sz w:val="22"/>
          <w:szCs w:val="22"/>
        </w:rPr>
      </w:pPr>
      <w:r>
        <w:rPr>
          <w:rFonts w:eastAsia="仿宋_GB2312"/>
          <w:sz w:val="22"/>
          <w:szCs w:val="22"/>
        </w:rPr>
        <w:t>申办者应有书面程序确保其对CRF的改动是必要的、被记录的，并得到研究者的认可。研究者应保留修改和更正的相关记录。</w:t>
      </w:r>
    </w:p>
    <w:p>
      <w:pPr>
        <w:spacing w:line="580" w:lineRule="exact"/>
        <w:ind w:firstLine="640" w:firstLineChars="200"/>
        <w:rPr>
          <w:rFonts w:eastAsia="仿宋_GB2312"/>
          <w:sz w:val="22"/>
          <w:szCs w:val="22"/>
        </w:rPr>
      </w:pPr>
      <w:r>
        <w:rPr>
          <w:rFonts w:eastAsia="仿宋_GB2312"/>
          <w:sz w:val="22"/>
          <w:szCs w:val="22"/>
        </w:rPr>
        <w:t>（四）研究者及其供职的医疗机构应按“临床试验必备文件”和药品监督管理部门的相关要求，妥善保存试验文档。</w:t>
      </w:r>
    </w:p>
    <w:p>
      <w:pPr>
        <w:spacing w:line="580" w:lineRule="exact"/>
        <w:ind w:firstLine="640" w:firstLineChars="200"/>
        <w:rPr>
          <w:rFonts w:eastAsia="仿宋_GB2312"/>
          <w:sz w:val="22"/>
          <w:szCs w:val="22"/>
        </w:rPr>
      </w:pPr>
      <w:r>
        <w:rPr>
          <w:rFonts w:eastAsia="仿宋_GB2312"/>
          <w:sz w:val="22"/>
          <w:szCs w:val="22"/>
        </w:rPr>
        <w:t>（五）临床试验必备文件应保存至试验药物批准上市后2年或者临床试验终止后5年。申办者应与研究者及其供职的医疗机构就必备文件保存时间、费用和到期后的处理在合同中予以明确。</w:t>
      </w:r>
    </w:p>
    <w:p>
      <w:pPr>
        <w:spacing w:line="580" w:lineRule="exact"/>
        <w:ind w:firstLine="640" w:firstLineChars="200"/>
        <w:rPr>
          <w:rFonts w:eastAsia="仿宋_GB2312"/>
          <w:sz w:val="22"/>
          <w:szCs w:val="22"/>
        </w:rPr>
      </w:pPr>
      <w:r>
        <w:rPr>
          <w:rFonts w:eastAsia="仿宋_GB2312"/>
          <w:sz w:val="22"/>
          <w:szCs w:val="22"/>
        </w:rPr>
        <w:t>（六）申办者与研究者及其供职的医疗机构应就试验经费等相关事宜，在合同中予以明确。</w:t>
      </w:r>
    </w:p>
    <w:p>
      <w:pPr>
        <w:spacing w:line="580" w:lineRule="exact"/>
        <w:ind w:firstLine="640" w:firstLineChars="200"/>
        <w:rPr>
          <w:rFonts w:eastAsia="仿宋_GB2312"/>
          <w:sz w:val="22"/>
          <w:szCs w:val="22"/>
        </w:rPr>
      </w:pPr>
      <w:r>
        <w:rPr>
          <w:rFonts w:eastAsia="仿宋_GB2312"/>
          <w:sz w:val="22"/>
          <w:szCs w:val="22"/>
        </w:rPr>
        <w:t>（七）根据监查员、稽查员、伦理委员会或药品监督管理部门的要求，研究者及其供职的医疗机构应配合并提供所需的与试验有关的记录。</w:t>
      </w:r>
    </w:p>
    <w:p>
      <w:pPr>
        <w:spacing w:line="560" w:lineRule="exact"/>
        <w:ind w:firstLine="640" w:firstLineChars="200"/>
        <w:rPr>
          <w:rFonts w:eastAsia="仿宋_GB2312"/>
          <w:sz w:val="22"/>
          <w:szCs w:val="22"/>
        </w:rPr>
      </w:pPr>
      <w:bookmarkStart w:id="48" w:name="_Toc454451287"/>
      <w:bookmarkStart w:id="49" w:name="_Toc452726047"/>
      <w:r>
        <w:rPr>
          <w:rFonts w:ascii="黑体" w:hAnsi="黑体" w:eastAsia="黑体"/>
          <w:sz w:val="22"/>
          <w:szCs w:val="22"/>
        </w:rPr>
        <w:t>第二十五条</w:t>
      </w:r>
      <w:r>
        <w:rPr>
          <w:rFonts w:eastAsia="仿宋_GB2312"/>
          <w:sz w:val="22"/>
          <w:szCs w:val="22"/>
        </w:rPr>
        <w:t xml:space="preserve">  安全性报告</w:t>
      </w:r>
      <w:bookmarkEnd w:id="48"/>
      <w:bookmarkEnd w:id="49"/>
    </w:p>
    <w:p>
      <w:pPr>
        <w:spacing w:line="560" w:lineRule="exact"/>
        <w:ind w:firstLine="640" w:firstLineChars="200"/>
        <w:rPr>
          <w:rFonts w:eastAsia="仿宋_GB2312"/>
          <w:sz w:val="22"/>
          <w:szCs w:val="22"/>
        </w:rPr>
      </w:pPr>
      <w:r>
        <w:rPr>
          <w:rFonts w:eastAsia="仿宋_GB2312"/>
          <w:sz w:val="22"/>
          <w:szCs w:val="22"/>
        </w:rPr>
        <w:t>除临床试验方案或其他文件（如研究者手册）中规定不需立即报告的SAE外，其他所有SAE应立即报告申办者，随后应及时提供详尽、书面的报告。SAE报告和随访报告，应注明受试者在临床试验中的唯一识别编码，而不是受试者的真实姓名、身份证号码和住址。研究者应向伦理委员会报告SAE。</w:t>
      </w:r>
    </w:p>
    <w:p>
      <w:pPr>
        <w:spacing w:line="560" w:lineRule="exact"/>
        <w:ind w:firstLine="640" w:firstLineChars="200"/>
        <w:rPr>
          <w:rFonts w:eastAsia="仿宋_GB2312"/>
          <w:sz w:val="22"/>
          <w:szCs w:val="22"/>
        </w:rPr>
      </w:pPr>
      <w:r>
        <w:rPr>
          <w:rFonts w:eastAsia="仿宋_GB2312"/>
          <w:sz w:val="22"/>
          <w:szCs w:val="22"/>
        </w:rPr>
        <w:t>试验方案中规定的、对安全性评价重要的不良事件和实验室异常值，应按照试验方案的要求和时限向申办者报告。</w:t>
      </w:r>
    </w:p>
    <w:p>
      <w:pPr>
        <w:spacing w:line="560" w:lineRule="exact"/>
        <w:ind w:firstLine="640" w:firstLineChars="200"/>
        <w:rPr>
          <w:rFonts w:eastAsia="仿宋_GB2312"/>
          <w:sz w:val="22"/>
          <w:szCs w:val="22"/>
        </w:rPr>
      </w:pPr>
      <w:r>
        <w:rPr>
          <w:rFonts w:eastAsia="仿宋_GB2312"/>
          <w:sz w:val="22"/>
          <w:szCs w:val="22"/>
        </w:rPr>
        <w:t>死亡事件的报告，研究者应向申办者和伦理委员会提供其他所需要的资料（例如尸检报告和最终医学报告）。</w:t>
      </w:r>
    </w:p>
    <w:p>
      <w:pPr>
        <w:spacing w:line="560" w:lineRule="exact"/>
        <w:ind w:firstLine="640" w:firstLineChars="200"/>
        <w:rPr>
          <w:rFonts w:eastAsia="仿宋_GB2312"/>
          <w:sz w:val="22"/>
          <w:szCs w:val="22"/>
        </w:rPr>
      </w:pPr>
      <w:bookmarkStart w:id="50" w:name="_Toc452726048"/>
      <w:bookmarkStart w:id="51" w:name="_Toc454451288"/>
      <w:r>
        <w:rPr>
          <w:rFonts w:ascii="黑体" w:hAnsi="黑体" w:eastAsia="黑体"/>
          <w:sz w:val="22"/>
          <w:szCs w:val="22"/>
        </w:rPr>
        <w:t>第二十六条</w:t>
      </w:r>
      <w:r>
        <w:rPr>
          <w:rFonts w:eastAsia="仿宋_GB2312"/>
          <w:sz w:val="22"/>
          <w:szCs w:val="22"/>
        </w:rPr>
        <w:t xml:space="preserve">  试验的提前终止或暂停</w:t>
      </w:r>
      <w:bookmarkEnd w:id="50"/>
      <w:bookmarkEnd w:id="51"/>
    </w:p>
    <w:p>
      <w:pPr>
        <w:spacing w:line="560" w:lineRule="exact"/>
        <w:ind w:firstLine="640" w:firstLineChars="200"/>
        <w:rPr>
          <w:rFonts w:eastAsia="仿宋_GB2312"/>
          <w:sz w:val="22"/>
          <w:szCs w:val="22"/>
        </w:rPr>
      </w:pPr>
      <w:bookmarkStart w:id="52" w:name="_Toc452726049"/>
      <w:bookmarkStart w:id="53" w:name="_Toc454451289"/>
      <w:r>
        <w:rPr>
          <w:rFonts w:eastAsia="仿宋_GB2312"/>
          <w:sz w:val="22"/>
          <w:szCs w:val="22"/>
        </w:rPr>
        <w:t>任何试验项目提前终止或暂停时，研究者及其供职的医疗机构应及时通知受试者，并给予受试者适当的治疗和随访；应按规定通知药品监督管理部门。</w:t>
      </w:r>
      <w:bookmarkEnd w:id="52"/>
      <w:bookmarkEnd w:id="53"/>
    </w:p>
    <w:p>
      <w:pPr>
        <w:spacing w:line="560" w:lineRule="exact"/>
        <w:ind w:firstLine="640" w:firstLineChars="200"/>
        <w:rPr>
          <w:rFonts w:eastAsia="仿宋_GB2312"/>
          <w:sz w:val="22"/>
          <w:szCs w:val="22"/>
        </w:rPr>
      </w:pPr>
      <w:bookmarkStart w:id="54" w:name="_Toc452726050"/>
      <w:bookmarkStart w:id="55" w:name="_Toc454451290"/>
      <w:r>
        <w:rPr>
          <w:rFonts w:eastAsia="仿宋_GB2312"/>
          <w:sz w:val="22"/>
          <w:szCs w:val="22"/>
        </w:rPr>
        <w:t>（一）研究者事先未与申办者商议而终止或暂停临床试验，研究者应立即向其供职的医疗机构报告；研究者及其供职的医疗机构应立即通知申办者和伦理委员会，并提供详细书面报告。</w:t>
      </w:r>
      <w:bookmarkEnd w:id="54"/>
      <w:bookmarkEnd w:id="55"/>
    </w:p>
    <w:p>
      <w:pPr>
        <w:spacing w:line="560" w:lineRule="exact"/>
        <w:ind w:firstLine="640" w:firstLineChars="200"/>
        <w:rPr>
          <w:rFonts w:eastAsia="仿宋_GB2312"/>
          <w:sz w:val="22"/>
          <w:szCs w:val="22"/>
        </w:rPr>
      </w:pPr>
      <w:bookmarkStart w:id="56" w:name="_Toc454451291"/>
      <w:bookmarkStart w:id="57" w:name="_Toc452726051"/>
      <w:r>
        <w:rPr>
          <w:rFonts w:eastAsia="仿宋_GB2312"/>
          <w:sz w:val="22"/>
          <w:szCs w:val="22"/>
        </w:rPr>
        <w:t>（二）申办者终止或暂停临床试验，研究者应立即向其供职的医疗机构报告；研究者及其供职的医疗机构应立即通知伦理委员会，并提供详细书面报告。</w:t>
      </w:r>
      <w:bookmarkEnd w:id="56"/>
      <w:bookmarkEnd w:id="57"/>
    </w:p>
    <w:p>
      <w:pPr>
        <w:spacing w:line="560" w:lineRule="exact"/>
        <w:ind w:firstLine="640" w:firstLineChars="200"/>
        <w:rPr>
          <w:rFonts w:eastAsia="仿宋_GB2312"/>
          <w:sz w:val="22"/>
          <w:szCs w:val="22"/>
        </w:rPr>
      </w:pPr>
      <w:bookmarkStart w:id="58" w:name="_Toc454451292"/>
      <w:bookmarkStart w:id="59" w:name="_Toc452726052"/>
      <w:r>
        <w:rPr>
          <w:rFonts w:eastAsia="仿宋_GB2312"/>
          <w:sz w:val="22"/>
          <w:szCs w:val="22"/>
        </w:rPr>
        <w:t>（三）伦理委员会终止或暂停已批准的临床试验，研究者应向其供职的医疗机构报告；研究者及其供职的医疗机构应立即通知申办者，并提供详细书面报告。</w:t>
      </w:r>
      <w:bookmarkEnd w:id="58"/>
      <w:bookmarkEnd w:id="59"/>
    </w:p>
    <w:p>
      <w:pPr>
        <w:spacing w:line="560" w:lineRule="exact"/>
        <w:ind w:firstLine="640" w:firstLineChars="200"/>
        <w:rPr>
          <w:rFonts w:eastAsia="仿宋_GB2312"/>
          <w:sz w:val="22"/>
          <w:szCs w:val="22"/>
        </w:rPr>
      </w:pPr>
      <w:bookmarkStart w:id="60" w:name="_Toc452726053"/>
      <w:bookmarkStart w:id="61" w:name="_Toc454451293"/>
      <w:r>
        <w:rPr>
          <w:rFonts w:ascii="黑体" w:hAnsi="黑体" w:eastAsia="黑体"/>
          <w:sz w:val="22"/>
          <w:szCs w:val="22"/>
        </w:rPr>
        <w:t>第二十七条</w:t>
      </w:r>
      <w:r>
        <w:rPr>
          <w:rFonts w:eastAsia="仿宋_GB2312"/>
          <w:sz w:val="22"/>
          <w:szCs w:val="22"/>
        </w:rPr>
        <w:t xml:space="preserve">  试验进展报告</w:t>
      </w:r>
      <w:bookmarkEnd w:id="60"/>
      <w:bookmarkEnd w:id="61"/>
    </w:p>
    <w:p>
      <w:pPr>
        <w:spacing w:line="560" w:lineRule="exact"/>
        <w:ind w:firstLine="640" w:firstLineChars="200"/>
        <w:rPr>
          <w:rFonts w:eastAsia="仿宋_GB2312"/>
          <w:sz w:val="22"/>
          <w:szCs w:val="22"/>
        </w:rPr>
      </w:pPr>
      <w:r>
        <w:rPr>
          <w:rFonts w:eastAsia="仿宋_GB2312"/>
          <w:sz w:val="22"/>
          <w:szCs w:val="22"/>
        </w:rPr>
        <w:t>（一）研究者应向伦理委员会提交临床试验的年度报告，或应伦理委员会的要求提供进展报告。</w:t>
      </w:r>
    </w:p>
    <w:p>
      <w:pPr>
        <w:spacing w:line="560" w:lineRule="exact"/>
        <w:ind w:firstLine="640" w:firstLineChars="200"/>
        <w:rPr>
          <w:rFonts w:eastAsia="仿宋_GB2312"/>
          <w:spacing w:val="2"/>
          <w:sz w:val="22"/>
          <w:szCs w:val="22"/>
        </w:rPr>
      </w:pPr>
      <w:r>
        <w:rPr>
          <w:rFonts w:eastAsia="仿宋_GB2312"/>
          <w:sz w:val="22"/>
          <w:szCs w:val="22"/>
        </w:rPr>
        <w:t>（二）</w:t>
      </w:r>
      <w:r>
        <w:rPr>
          <w:rFonts w:eastAsia="仿宋_GB2312"/>
          <w:spacing w:val="2"/>
          <w:sz w:val="22"/>
          <w:szCs w:val="22"/>
        </w:rPr>
        <w:t>若临床试验的医疗机构有变化和/或增加了参加受试者的风险，研究者应尽快的以书面形式向申办者、伦理委员会报告。</w:t>
      </w:r>
    </w:p>
    <w:p>
      <w:pPr>
        <w:spacing w:line="560" w:lineRule="exact"/>
        <w:ind w:firstLine="640" w:firstLineChars="200"/>
        <w:rPr>
          <w:rFonts w:eastAsia="仿宋_GB2312"/>
          <w:sz w:val="22"/>
          <w:szCs w:val="22"/>
        </w:rPr>
      </w:pPr>
      <w:bookmarkStart w:id="62" w:name="_Toc452726054"/>
      <w:bookmarkStart w:id="63" w:name="_Toc454451294"/>
      <w:r>
        <w:rPr>
          <w:rFonts w:ascii="黑体" w:hAnsi="黑体" w:eastAsia="黑体"/>
          <w:sz w:val="22"/>
          <w:szCs w:val="22"/>
        </w:rPr>
        <w:t>第二十八条</w:t>
      </w:r>
      <w:r>
        <w:rPr>
          <w:rFonts w:eastAsia="仿宋_GB2312"/>
          <w:sz w:val="22"/>
          <w:szCs w:val="22"/>
        </w:rPr>
        <w:t xml:space="preserve">  研究者的最终报告</w:t>
      </w:r>
      <w:bookmarkEnd w:id="62"/>
      <w:bookmarkEnd w:id="63"/>
    </w:p>
    <w:p>
      <w:pPr>
        <w:spacing w:line="560" w:lineRule="exact"/>
        <w:ind w:firstLine="640" w:firstLineChars="200"/>
        <w:rPr>
          <w:rFonts w:eastAsia="仿宋_GB2312"/>
          <w:sz w:val="22"/>
          <w:szCs w:val="22"/>
        </w:rPr>
      </w:pPr>
      <w:r>
        <w:rPr>
          <w:rFonts w:eastAsia="仿宋_GB2312"/>
          <w:sz w:val="22"/>
          <w:szCs w:val="22"/>
        </w:rPr>
        <w:t>试验完成后，研究者应向其供职的医疗机构报告；研究者及其供职的医疗机构应向伦理委员会提供试验结果的摘要；向申办者提供药品监督管理部门所需要的相关临床试验报告。</w:t>
      </w:r>
    </w:p>
    <w:p>
      <w:pPr>
        <w:spacing w:line="560" w:lineRule="exact"/>
        <w:ind w:firstLine="640" w:firstLineChars="200"/>
        <w:rPr>
          <w:rFonts w:eastAsia="仿宋_GB2312"/>
          <w:sz w:val="22"/>
          <w:szCs w:val="22"/>
        </w:rPr>
      </w:pPr>
    </w:p>
    <w:bookmarkEnd w:id="1"/>
    <w:p>
      <w:pPr>
        <w:adjustRightInd w:val="0"/>
        <w:snapToGrid w:val="0"/>
        <w:spacing w:line="560" w:lineRule="exact"/>
        <w:jc w:val="center"/>
        <w:rPr>
          <w:rFonts w:ascii="方正小标宋简体" w:eastAsia="方正小标宋简体"/>
          <w:sz w:val="22"/>
          <w:szCs w:val="22"/>
        </w:rPr>
      </w:pPr>
      <w:bookmarkStart w:id="64" w:name="_Toc443990412"/>
      <w:bookmarkEnd w:id="64"/>
      <w:bookmarkStart w:id="65" w:name="_Toc443990413"/>
      <w:bookmarkEnd w:id="65"/>
      <w:bookmarkStart w:id="66" w:name="_Toc443990414"/>
      <w:bookmarkEnd w:id="66"/>
      <w:bookmarkStart w:id="67" w:name="_Toc443990415"/>
      <w:bookmarkEnd w:id="67"/>
      <w:bookmarkStart w:id="68" w:name="_Toc443990418"/>
      <w:bookmarkEnd w:id="68"/>
      <w:bookmarkStart w:id="69" w:name="_Toc443990422"/>
      <w:bookmarkEnd w:id="69"/>
      <w:bookmarkStart w:id="70" w:name="_Toc443990424"/>
      <w:bookmarkEnd w:id="70"/>
      <w:bookmarkStart w:id="71" w:name="_Toc443990426"/>
      <w:bookmarkEnd w:id="71"/>
      <w:bookmarkStart w:id="72" w:name="_Toc441830713"/>
      <w:bookmarkStart w:id="73" w:name="_Toc454451295"/>
      <w:bookmarkStart w:id="74" w:name="_Toc441830727"/>
      <w:r>
        <w:rPr>
          <w:rFonts w:hint="eastAsia" w:ascii="方正小标宋简体" w:eastAsia="方正小标宋简体"/>
          <w:sz w:val="22"/>
          <w:szCs w:val="22"/>
        </w:rPr>
        <w:t>第四章  申办者</w:t>
      </w:r>
      <w:bookmarkEnd w:id="72"/>
      <w:bookmarkEnd w:id="73"/>
    </w:p>
    <w:p>
      <w:pPr>
        <w:spacing w:line="560" w:lineRule="exact"/>
        <w:ind w:firstLine="640" w:firstLineChars="200"/>
        <w:rPr>
          <w:rFonts w:eastAsia="仿宋_GB2312"/>
          <w:sz w:val="22"/>
          <w:szCs w:val="22"/>
        </w:rPr>
      </w:pPr>
      <w:bookmarkStart w:id="75" w:name="_Toc443990447"/>
      <w:bookmarkStart w:id="76" w:name="_Toc443995437"/>
      <w:bookmarkStart w:id="77" w:name="_Toc443995782"/>
      <w:bookmarkStart w:id="78" w:name="_Toc452726056"/>
      <w:bookmarkStart w:id="79" w:name="_Toc454451296"/>
      <w:r>
        <w:rPr>
          <w:rFonts w:ascii="黑体" w:hAnsi="黑体" w:eastAsia="黑体"/>
          <w:sz w:val="22"/>
          <w:szCs w:val="22"/>
        </w:rPr>
        <w:t>第二十九条</w:t>
      </w:r>
      <w:r>
        <w:rPr>
          <w:rFonts w:eastAsia="仿宋_GB2312"/>
          <w:sz w:val="22"/>
          <w:szCs w:val="22"/>
        </w:rPr>
        <w:t xml:space="preserve">  质量管理</w:t>
      </w:r>
      <w:bookmarkEnd w:id="75"/>
      <w:bookmarkEnd w:id="76"/>
      <w:bookmarkEnd w:id="77"/>
      <w:bookmarkEnd w:id="78"/>
      <w:bookmarkEnd w:id="79"/>
    </w:p>
    <w:p>
      <w:pPr>
        <w:spacing w:line="560" w:lineRule="exact"/>
        <w:ind w:firstLine="640" w:firstLineChars="200"/>
        <w:rPr>
          <w:rFonts w:eastAsia="仿宋_GB2312"/>
          <w:sz w:val="22"/>
          <w:szCs w:val="22"/>
        </w:rPr>
      </w:pPr>
      <w:bookmarkStart w:id="80" w:name="_Toc442456707"/>
      <w:bookmarkStart w:id="81" w:name="_Toc443990448"/>
      <w:bookmarkStart w:id="82" w:name="_Toc443995438"/>
      <w:bookmarkStart w:id="83" w:name="_Toc443995783"/>
      <w:bookmarkStart w:id="84" w:name="_Toc452726057"/>
      <w:bookmarkStart w:id="85" w:name="_Toc454451297"/>
      <w:r>
        <w:rPr>
          <w:rFonts w:eastAsia="仿宋_GB2312"/>
          <w:sz w:val="22"/>
          <w:szCs w:val="22"/>
        </w:rPr>
        <w:t>申办者应把保护受试者的权益、保障其安全以及试验结果的真实、可靠，作为临床试验的基本出发点。</w:t>
      </w:r>
    </w:p>
    <w:p>
      <w:pPr>
        <w:spacing w:line="560" w:lineRule="exact"/>
        <w:ind w:firstLine="640" w:firstLineChars="200"/>
        <w:rPr>
          <w:rFonts w:eastAsia="仿宋_GB2312"/>
          <w:sz w:val="22"/>
          <w:szCs w:val="22"/>
        </w:rPr>
      </w:pPr>
      <w:r>
        <w:rPr>
          <w:rFonts w:eastAsia="仿宋_GB2312"/>
          <w:sz w:val="22"/>
          <w:szCs w:val="22"/>
        </w:rPr>
        <w:t>申办者应建立药物临床试验的质量管理体系，涵盖临床试验的整个过程，包括临床试验的设计、实施、记录、评估、结果报告和文件归档。</w:t>
      </w:r>
      <w:bookmarkStart w:id="86" w:name="_Toc442456708"/>
      <w:bookmarkStart w:id="87" w:name="_Toc443990449"/>
      <w:bookmarkStart w:id="88" w:name="_Toc443995439"/>
      <w:bookmarkStart w:id="89" w:name="_Toc443995784"/>
      <w:bookmarkStart w:id="90" w:name="_Toc452726058"/>
      <w:bookmarkStart w:id="91" w:name="_Toc454451298"/>
      <w:bookmarkEnd w:id="80"/>
      <w:bookmarkEnd w:id="81"/>
      <w:bookmarkEnd w:id="82"/>
      <w:bookmarkEnd w:id="83"/>
      <w:bookmarkEnd w:id="84"/>
      <w:bookmarkEnd w:id="85"/>
      <w:r>
        <w:rPr>
          <w:rFonts w:eastAsia="仿宋_GB2312"/>
          <w:sz w:val="22"/>
          <w:szCs w:val="22"/>
        </w:rPr>
        <w:t>质量管理包括有效的试验方案设计、收集数据的方法及流程、对于临床试验中重要的问题做出决策的信息采集。</w:t>
      </w:r>
      <w:bookmarkEnd w:id="86"/>
      <w:bookmarkEnd w:id="87"/>
      <w:bookmarkEnd w:id="88"/>
      <w:bookmarkEnd w:id="89"/>
      <w:bookmarkEnd w:id="90"/>
      <w:bookmarkEnd w:id="91"/>
    </w:p>
    <w:p>
      <w:pPr>
        <w:spacing w:line="560" w:lineRule="exact"/>
        <w:ind w:firstLine="640" w:firstLineChars="200"/>
        <w:rPr>
          <w:rFonts w:eastAsia="仿宋_GB2312"/>
          <w:sz w:val="22"/>
          <w:szCs w:val="22"/>
        </w:rPr>
      </w:pPr>
      <w:bookmarkStart w:id="92" w:name="_Toc442456709"/>
      <w:bookmarkStart w:id="93" w:name="_Toc443990450"/>
      <w:bookmarkStart w:id="94" w:name="_Toc443995440"/>
      <w:bookmarkStart w:id="95" w:name="_Toc443995785"/>
      <w:bookmarkStart w:id="96" w:name="_Toc452726059"/>
      <w:bookmarkStart w:id="97" w:name="_Toc454451299"/>
      <w:r>
        <w:rPr>
          <w:rFonts w:eastAsia="仿宋_GB2312"/>
          <w:sz w:val="22"/>
          <w:szCs w:val="22"/>
        </w:rPr>
        <w:t>药物临床试验质量保证和质量控制的方法应与临床试验内在的风险和信息采集的重要性相符。申办者应保证质量体系中各个环节的可操作性，试验流程和数据采集不应过于复杂。试验方案、CRF及其他相关文件应清晰、简洁和前后一致。</w:t>
      </w:r>
      <w:bookmarkEnd w:id="92"/>
      <w:bookmarkEnd w:id="93"/>
      <w:bookmarkEnd w:id="94"/>
      <w:bookmarkEnd w:id="95"/>
      <w:bookmarkEnd w:id="96"/>
      <w:bookmarkEnd w:id="97"/>
    </w:p>
    <w:p>
      <w:pPr>
        <w:spacing w:line="560" w:lineRule="exact"/>
        <w:ind w:firstLine="640" w:firstLineChars="200"/>
        <w:rPr>
          <w:rFonts w:eastAsia="仿宋_GB2312"/>
          <w:sz w:val="22"/>
          <w:szCs w:val="22"/>
        </w:rPr>
      </w:pPr>
      <w:bookmarkStart w:id="98" w:name="_Toc452726060"/>
      <w:bookmarkStart w:id="99" w:name="_Toc454451300"/>
      <w:r>
        <w:rPr>
          <w:rFonts w:eastAsia="仿宋_GB2312"/>
          <w:sz w:val="22"/>
          <w:szCs w:val="22"/>
        </w:rPr>
        <w:t>申办者应承担对临床试验所有相关问题的管理职责，根据试验需要可建立临床试验项目的研究和管理团队，以指导、监督临床试验实施。研究和管理团队内部的工作应及时沟通。在药品监督管理部门检查时研究和管理团队各层面人员均应参加。</w:t>
      </w:r>
      <w:bookmarkEnd w:id="98"/>
      <w:bookmarkEnd w:id="99"/>
    </w:p>
    <w:p>
      <w:pPr>
        <w:spacing w:line="560" w:lineRule="exact"/>
        <w:ind w:firstLine="640" w:firstLineChars="200"/>
        <w:rPr>
          <w:rFonts w:eastAsia="仿宋_GB2312"/>
          <w:sz w:val="22"/>
          <w:szCs w:val="22"/>
        </w:rPr>
      </w:pPr>
      <w:bookmarkStart w:id="100" w:name="_Toc442456710"/>
      <w:bookmarkStart w:id="101" w:name="_Toc443990451"/>
      <w:bookmarkStart w:id="102" w:name="_Toc443995441"/>
      <w:bookmarkStart w:id="103" w:name="_Toc443995786"/>
      <w:bookmarkStart w:id="104" w:name="_Toc452726061"/>
      <w:bookmarkStart w:id="105" w:name="_Toc454451301"/>
      <w:r>
        <w:rPr>
          <w:rFonts w:ascii="黑体" w:hAnsi="黑体" w:eastAsia="黑体"/>
          <w:sz w:val="22"/>
          <w:szCs w:val="22"/>
        </w:rPr>
        <w:t>第三十条</w:t>
      </w:r>
      <w:r>
        <w:rPr>
          <w:rFonts w:eastAsia="仿宋_GB2312"/>
          <w:sz w:val="22"/>
          <w:szCs w:val="22"/>
        </w:rPr>
        <w:t xml:space="preserve">  风险管理</w:t>
      </w:r>
      <w:bookmarkEnd w:id="100"/>
      <w:bookmarkEnd w:id="101"/>
      <w:bookmarkEnd w:id="102"/>
      <w:bookmarkEnd w:id="103"/>
      <w:bookmarkEnd w:id="104"/>
      <w:bookmarkEnd w:id="105"/>
    </w:p>
    <w:p>
      <w:pPr>
        <w:spacing w:line="560" w:lineRule="exact"/>
        <w:ind w:firstLine="640" w:firstLineChars="200"/>
        <w:rPr>
          <w:rFonts w:eastAsia="仿宋_GB2312"/>
          <w:sz w:val="22"/>
          <w:szCs w:val="22"/>
        </w:rPr>
      </w:pPr>
      <w:r>
        <w:rPr>
          <w:rFonts w:eastAsia="仿宋_GB2312"/>
          <w:sz w:val="22"/>
          <w:szCs w:val="22"/>
        </w:rPr>
        <w:t>（一）申办者在方案制定中，应明确保护受试者权益并保障其安全，以及试验结果可靠性的关键环节和数据。</w:t>
      </w:r>
    </w:p>
    <w:p>
      <w:pPr>
        <w:spacing w:line="560" w:lineRule="exact"/>
        <w:ind w:firstLine="640" w:firstLineChars="200"/>
        <w:rPr>
          <w:rFonts w:eastAsia="仿宋_GB2312"/>
          <w:sz w:val="22"/>
          <w:szCs w:val="22"/>
        </w:rPr>
      </w:pPr>
      <w:r>
        <w:rPr>
          <w:rFonts w:eastAsia="仿宋_GB2312"/>
          <w:sz w:val="22"/>
          <w:szCs w:val="22"/>
        </w:rPr>
        <w:t>（二）应识别试验关键环节和数据的风险。该风险应从两个层面考虑，系统层面（如设施设备、SOP、计算机化系统、人员、供应商）和临床试验层面（如试验药物、试验设计、数据收集和记录）。</w:t>
      </w:r>
    </w:p>
    <w:p>
      <w:pPr>
        <w:spacing w:line="560" w:lineRule="exact"/>
        <w:ind w:firstLine="640" w:firstLineChars="200"/>
        <w:rPr>
          <w:rFonts w:eastAsia="仿宋_GB2312"/>
          <w:sz w:val="22"/>
          <w:szCs w:val="22"/>
        </w:rPr>
      </w:pPr>
      <w:r>
        <w:rPr>
          <w:rFonts w:eastAsia="仿宋_GB2312"/>
          <w:sz w:val="22"/>
          <w:szCs w:val="22"/>
        </w:rPr>
        <w:t>（三）风险评估应考虑：在现有风险控制下发生差错的可能性；该差错对保护受试者权益并保障其安全，以及数据可靠性的影响；该差错被监测到的程度。</w:t>
      </w:r>
    </w:p>
    <w:p>
      <w:pPr>
        <w:spacing w:line="560" w:lineRule="exact"/>
        <w:ind w:firstLine="640" w:firstLineChars="200"/>
        <w:rPr>
          <w:rFonts w:eastAsia="仿宋_GB2312"/>
          <w:sz w:val="22"/>
          <w:szCs w:val="22"/>
        </w:rPr>
      </w:pPr>
      <w:r>
        <w:rPr>
          <w:rFonts w:eastAsia="仿宋_GB2312"/>
          <w:sz w:val="22"/>
          <w:szCs w:val="22"/>
        </w:rPr>
        <w:t>（四）申办者应识别可减少或者可被接受的风险。减少风险的控制措施应体现在方案的设计和实施、监查计划、各方职责明确的合同、SOP的依从，以及各类培训中。</w:t>
      </w:r>
    </w:p>
    <w:p>
      <w:pPr>
        <w:spacing w:line="560" w:lineRule="exact"/>
        <w:ind w:firstLine="640" w:firstLineChars="200"/>
        <w:rPr>
          <w:rFonts w:eastAsia="仿宋_GB2312"/>
          <w:sz w:val="22"/>
          <w:szCs w:val="22"/>
        </w:rPr>
      </w:pPr>
      <w:r>
        <w:rPr>
          <w:rFonts w:eastAsia="仿宋_GB2312"/>
          <w:sz w:val="22"/>
          <w:szCs w:val="22"/>
        </w:rPr>
        <w:t>预先设定质量风险的容忍度时，应考虑变量的医学和统计学特点及统计设计，以鉴别影响受试者安全和数据可信性的系统问题。出现超出质量容忍度的情况时，应评估是否需要采取进一步的措施。</w:t>
      </w:r>
    </w:p>
    <w:p>
      <w:pPr>
        <w:spacing w:line="560" w:lineRule="exact"/>
        <w:ind w:firstLine="640" w:firstLineChars="200"/>
        <w:rPr>
          <w:rFonts w:eastAsia="仿宋_GB2312"/>
          <w:sz w:val="22"/>
          <w:szCs w:val="22"/>
        </w:rPr>
      </w:pPr>
      <w:r>
        <w:rPr>
          <w:rFonts w:eastAsia="仿宋_GB2312"/>
          <w:sz w:val="22"/>
          <w:szCs w:val="22"/>
        </w:rPr>
        <w:t>（五）试验过程中，质量管理活动应有记录，并及时与相关各方沟通，以利于风险评估和质量持续改进。</w:t>
      </w:r>
    </w:p>
    <w:p>
      <w:pPr>
        <w:spacing w:line="560" w:lineRule="exact"/>
        <w:ind w:firstLine="640" w:firstLineChars="200"/>
        <w:rPr>
          <w:rFonts w:eastAsia="仿宋_GB2312"/>
          <w:sz w:val="22"/>
          <w:szCs w:val="22"/>
        </w:rPr>
      </w:pPr>
      <w:r>
        <w:rPr>
          <w:rFonts w:eastAsia="仿宋_GB2312"/>
          <w:sz w:val="22"/>
          <w:szCs w:val="22"/>
        </w:rPr>
        <w:t>（六）申办者应结合试验过程中的新知识和经验，定期评估风险控制措施，以确保现行的质量管理活动的有效性和适用性。</w:t>
      </w:r>
    </w:p>
    <w:p>
      <w:pPr>
        <w:spacing w:line="560" w:lineRule="exact"/>
        <w:ind w:firstLine="640" w:firstLineChars="200"/>
        <w:rPr>
          <w:rFonts w:eastAsia="仿宋_GB2312"/>
          <w:sz w:val="22"/>
          <w:szCs w:val="22"/>
        </w:rPr>
      </w:pPr>
      <w:r>
        <w:rPr>
          <w:rFonts w:eastAsia="仿宋_GB2312"/>
          <w:sz w:val="22"/>
          <w:szCs w:val="22"/>
        </w:rPr>
        <w:t>（七）申办者应在临床试验报告中表述所采用的质量管理方法，并概述质量风险的容忍度的重要偏离。</w:t>
      </w:r>
    </w:p>
    <w:p>
      <w:pPr>
        <w:spacing w:line="560" w:lineRule="exact"/>
        <w:ind w:firstLine="640" w:firstLineChars="200"/>
        <w:rPr>
          <w:rFonts w:eastAsia="仿宋_GB2312"/>
          <w:sz w:val="22"/>
          <w:szCs w:val="22"/>
        </w:rPr>
      </w:pPr>
      <w:bookmarkStart w:id="106" w:name="_Toc443990452"/>
      <w:bookmarkStart w:id="107" w:name="_Toc443995442"/>
      <w:bookmarkStart w:id="108" w:name="_Toc443995787"/>
      <w:bookmarkStart w:id="109" w:name="_Toc452726062"/>
      <w:bookmarkStart w:id="110" w:name="_Toc454451302"/>
      <w:r>
        <w:rPr>
          <w:rFonts w:ascii="黑体" w:hAnsi="黑体" w:eastAsia="黑体"/>
          <w:sz w:val="22"/>
          <w:szCs w:val="22"/>
        </w:rPr>
        <w:t>第三十一条</w:t>
      </w:r>
      <w:r>
        <w:rPr>
          <w:rFonts w:eastAsia="仿宋_GB2312"/>
          <w:sz w:val="22"/>
          <w:szCs w:val="22"/>
        </w:rPr>
        <w:t xml:space="preserve">  质量保证和质量控制</w:t>
      </w:r>
      <w:bookmarkEnd w:id="106"/>
      <w:bookmarkEnd w:id="107"/>
      <w:bookmarkEnd w:id="108"/>
      <w:bookmarkEnd w:id="109"/>
      <w:bookmarkEnd w:id="110"/>
    </w:p>
    <w:p>
      <w:pPr>
        <w:spacing w:line="560" w:lineRule="exact"/>
        <w:ind w:firstLine="640" w:firstLineChars="200"/>
        <w:rPr>
          <w:rFonts w:eastAsia="仿宋_GB2312"/>
          <w:sz w:val="22"/>
          <w:szCs w:val="22"/>
        </w:rPr>
      </w:pPr>
      <w:r>
        <w:rPr>
          <w:rFonts w:eastAsia="仿宋_GB2312"/>
          <w:sz w:val="22"/>
          <w:szCs w:val="22"/>
        </w:rPr>
        <w:t>（一）申办者负责制定、实施和及时更新有关临床试验质量保证和质量控制系统的SOP，确保临床试验的进行、数据的产生、记录和报告均遵守试验方案、本规范和相关法律法规的要求。</w:t>
      </w:r>
    </w:p>
    <w:p>
      <w:pPr>
        <w:spacing w:line="560" w:lineRule="exact"/>
        <w:ind w:firstLine="640" w:firstLineChars="200"/>
        <w:rPr>
          <w:rFonts w:eastAsia="仿宋_GB2312"/>
          <w:sz w:val="22"/>
          <w:szCs w:val="22"/>
        </w:rPr>
      </w:pPr>
      <w:r>
        <w:rPr>
          <w:rFonts w:eastAsia="仿宋_GB2312"/>
          <w:sz w:val="22"/>
          <w:szCs w:val="22"/>
        </w:rPr>
        <w:t>（二）临床试验和实验室检测的全过程均需严格按照质量管理SOP进行。数据处理的每一阶段均有质量控制，以保证所有数据是可靠的，数据处理过程是正确的。</w:t>
      </w:r>
    </w:p>
    <w:p>
      <w:pPr>
        <w:spacing w:line="560" w:lineRule="exact"/>
        <w:ind w:firstLine="640" w:firstLineChars="200"/>
        <w:rPr>
          <w:rFonts w:eastAsia="仿宋_GB2312"/>
          <w:sz w:val="22"/>
          <w:szCs w:val="22"/>
        </w:rPr>
      </w:pPr>
      <w:r>
        <w:rPr>
          <w:rFonts w:eastAsia="仿宋_GB2312"/>
          <w:sz w:val="22"/>
          <w:szCs w:val="22"/>
        </w:rPr>
        <w:t>（三）申办者必须与研究者及其供职的医疗机构和所有参加临床试验的相关单位签订合同，明确各方职责。</w:t>
      </w:r>
    </w:p>
    <w:p>
      <w:pPr>
        <w:spacing w:line="560" w:lineRule="exact"/>
        <w:ind w:firstLine="640" w:firstLineChars="200"/>
        <w:rPr>
          <w:rFonts w:eastAsia="仿宋_GB2312"/>
          <w:sz w:val="22"/>
          <w:szCs w:val="22"/>
        </w:rPr>
      </w:pPr>
      <w:r>
        <w:rPr>
          <w:rFonts w:eastAsia="仿宋_GB2312"/>
          <w:sz w:val="22"/>
          <w:szCs w:val="22"/>
        </w:rPr>
        <w:t>（四）申办者应在与各相关方签订的合同中注明，国内外药品监督管理部门的检查、申办者的监查和稽查可直接去到试验现场，查阅源数据、源文件和报告。</w:t>
      </w:r>
    </w:p>
    <w:p>
      <w:pPr>
        <w:spacing w:line="560" w:lineRule="exact"/>
        <w:ind w:firstLine="640" w:firstLineChars="200"/>
        <w:rPr>
          <w:rFonts w:eastAsia="仿宋_GB2312"/>
          <w:sz w:val="22"/>
          <w:szCs w:val="22"/>
        </w:rPr>
      </w:pPr>
      <w:bookmarkStart w:id="111" w:name="_Toc452726063"/>
      <w:bookmarkStart w:id="112" w:name="_Toc454451303"/>
      <w:bookmarkStart w:id="113" w:name="_Toc443995443"/>
      <w:bookmarkStart w:id="114" w:name="_Toc443995788"/>
      <w:bookmarkStart w:id="115" w:name="_Toc443990453"/>
      <w:r>
        <w:rPr>
          <w:rFonts w:ascii="黑体" w:hAnsi="黑体" w:eastAsia="黑体"/>
          <w:sz w:val="22"/>
          <w:szCs w:val="22"/>
        </w:rPr>
        <w:t>第三十二条</w:t>
      </w:r>
      <w:r>
        <w:rPr>
          <w:rFonts w:eastAsia="仿宋_GB2312"/>
          <w:sz w:val="22"/>
          <w:szCs w:val="22"/>
        </w:rPr>
        <w:t xml:space="preserve">  合同研究组织（CRO）</w:t>
      </w:r>
      <w:bookmarkEnd w:id="111"/>
      <w:bookmarkEnd w:id="112"/>
      <w:bookmarkEnd w:id="113"/>
      <w:bookmarkEnd w:id="114"/>
      <w:bookmarkEnd w:id="115"/>
    </w:p>
    <w:p>
      <w:pPr>
        <w:spacing w:line="560" w:lineRule="exact"/>
        <w:ind w:firstLine="640" w:firstLineChars="200"/>
        <w:rPr>
          <w:rFonts w:eastAsia="仿宋_GB2312"/>
          <w:sz w:val="22"/>
          <w:szCs w:val="22"/>
        </w:rPr>
      </w:pPr>
      <w:r>
        <w:rPr>
          <w:rFonts w:eastAsia="仿宋_GB2312"/>
          <w:sz w:val="22"/>
          <w:szCs w:val="22"/>
        </w:rPr>
        <w:t>（一）申办者可以将其临床试验的部分或全部工作和任务委托给CRO，但申办者仍然是临床试验数据质量和可靠性的最终责任人，应监督CRO承担的各项工作。CRO应建立临床试验质量保证体系并实施质量保证和质量控制。</w:t>
      </w:r>
    </w:p>
    <w:p>
      <w:pPr>
        <w:spacing w:line="560" w:lineRule="exact"/>
        <w:ind w:firstLine="640" w:firstLineChars="200"/>
        <w:rPr>
          <w:rFonts w:eastAsia="仿宋_GB2312"/>
          <w:sz w:val="22"/>
          <w:szCs w:val="22"/>
        </w:rPr>
      </w:pPr>
      <w:r>
        <w:rPr>
          <w:rFonts w:eastAsia="仿宋_GB2312"/>
          <w:sz w:val="22"/>
          <w:szCs w:val="22"/>
        </w:rPr>
        <w:t>（二）申办者委托给CRO的工作，应签订合同。CRO如存在任务转包，应获得申办者的书面批准。</w:t>
      </w:r>
    </w:p>
    <w:p>
      <w:pPr>
        <w:spacing w:line="560" w:lineRule="exact"/>
        <w:ind w:firstLine="640" w:firstLineChars="200"/>
        <w:rPr>
          <w:rFonts w:eastAsia="仿宋_GB2312"/>
          <w:sz w:val="22"/>
          <w:szCs w:val="22"/>
        </w:rPr>
      </w:pPr>
      <w:r>
        <w:rPr>
          <w:rFonts w:eastAsia="仿宋_GB2312"/>
          <w:sz w:val="22"/>
          <w:szCs w:val="22"/>
        </w:rPr>
        <w:t>（三）未明确委托给CRO的工作和任务，其职责仍由申办者负责。</w:t>
      </w:r>
    </w:p>
    <w:p>
      <w:pPr>
        <w:spacing w:line="560" w:lineRule="exact"/>
        <w:ind w:firstLine="640" w:firstLineChars="200"/>
        <w:rPr>
          <w:rFonts w:eastAsia="仿宋_GB2312"/>
          <w:sz w:val="22"/>
          <w:szCs w:val="22"/>
        </w:rPr>
      </w:pPr>
      <w:r>
        <w:rPr>
          <w:rFonts w:eastAsia="仿宋_GB2312"/>
          <w:sz w:val="22"/>
          <w:szCs w:val="22"/>
        </w:rPr>
        <w:t>（四）本规范中对申办者的要求，适用于承担申办者相关工作和任务的CRO。</w:t>
      </w:r>
    </w:p>
    <w:p>
      <w:pPr>
        <w:spacing w:line="560" w:lineRule="exact"/>
        <w:ind w:firstLine="640" w:firstLineChars="200"/>
        <w:rPr>
          <w:rFonts w:eastAsia="仿宋_GB2312"/>
          <w:sz w:val="22"/>
          <w:szCs w:val="22"/>
        </w:rPr>
      </w:pPr>
      <w:bookmarkStart w:id="116" w:name="_Toc452726064"/>
      <w:bookmarkStart w:id="117" w:name="_Toc443990454"/>
      <w:bookmarkStart w:id="118" w:name="_Toc443995789"/>
      <w:bookmarkStart w:id="119" w:name="_Toc443995444"/>
      <w:bookmarkStart w:id="120" w:name="_Toc454451304"/>
      <w:r>
        <w:rPr>
          <w:rFonts w:ascii="黑体" w:hAnsi="黑体" w:eastAsia="黑体"/>
          <w:sz w:val="22"/>
          <w:szCs w:val="22"/>
        </w:rPr>
        <w:t>第三十三条</w:t>
      </w:r>
      <w:r>
        <w:rPr>
          <w:rFonts w:eastAsia="仿宋_GB2312"/>
          <w:sz w:val="22"/>
          <w:szCs w:val="22"/>
        </w:rPr>
        <w:t xml:space="preserve">  医学专家</w:t>
      </w:r>
      <w:bookmarkEnd w:id="116"/>
      <w:bookmarkEnd w:id="117"/>
      <w:bookmarkEnd w:id="118"/>
      <w:bookmarkEnd w:id="119"/>
      <w:bookmarkEnd w:id="120"/>
    </w:p>
    <w:p>
      <w:pPr>
        <w:spacing w:line="560" w:lineRule="exact"/>
        <w:ind w:firstLine="640" w:firstLineChars="200"/>
        <w:rPr>
          <w:rFonts w:eastAsia="仿宋_GB2312"/>
          <w:sz w:val="22"/>
          <w:szCs w:val="22"/>
        </w:rPr>
      </w:pPr>
      <w:r>
        <w:rPr>
          <w:rFonts w:eastAsia="仿宋_GB2312"/>
          <w:sz w:val="22"/>
          <w:szCs w:val="22"/>
        </w:rPr>
        <w:t>申办者可以聘任有资质的医学专家对临床试验的相关医学问题进行咨询。必要时可以聘任外单位的医学专家提供指导。</w:t>
      </w:r>
    </w:p>
    <w:p>
      <w:pPr>
        <w:spacing w:line="560" w:lineRule="exact"/>
        <w:ind w:firstLine="640" w:firstLineChars="200"/>
        <w:rPr>
          <w:rFonts w:eastAsia="仿宋_GB2312"/>
          <w:sz w:val="22"/>
          <w:szCs w:val="22"/>
        </w:rPr>
      </w:pPr>
      <w:bookmarkStart w:id="121" w:name="_Toc443990455"/>
      <w:bookmarkStart w:id="122" w:name="_Toc443995445"/>
      <w:bookmarkStart w:id="123" w:name="_Toc443995790"/>
      <w:bookmarkStart w:id="124" w:name="_Toc452726065"/>
      <w:bookmarkStart w:id="125" w:name="_Toc454451305"/>
      <w:r>
        <w:rPr>
          <w:rFonts w:ascii="黑体" w:hAnsi="黑体" w:eastAsia="黑体"/>
          <w:sz w:val="22"/>
          <w:szCs w:val="22"/>
        </w:rPr>
        <w:t>第三十四条</w:t>
      </w:r>
      <w:r>
        <w:rPr>
          <w:rFonts w:eastAsia="仿宋_GB2312"/>
          <w:sz w:val="22"/>
          <w:szCs w:val="22"/>
        </w:rPr>
        <w:t xml:space="preserve">  临床试验设计</w:t>
      </w:r>
      <w:bookmarkEnd w:id="121"/>
      <w:bookmarkEnd w:id="122"/>
      <w:bookmarkEnd w:id="123"/>
      <w:bookmarkEnd w:id="124"/>
      <w:bookmarkEnd w:id="125"/>
    </w:p>
    <w:p>
      <w:pPr>
        <w:spacing w:line="560" w:lineRule="exact"/>
        <w:ind w:firstLine="640" w:firstLineChars="200"/>
        <w:rPr>
          <w:rFonts w:eastAsia="仿宋_GB2312"/>
          <w:sz w:val="22"/>
          <w:szCs w:val="22"/>
        </w:rPr>
      </w:pPr>
      <w:r>
        <w:rPr>
          <w:rFonts w:eastAsia="仿宋_GB2312"/>
          <w:sz w:val="22"/>
          <w:szCs w:val="22"/>
        </w:rPr>
        <w:t>（一）申办者可选用有资质的生物统计学家、临床药理学家和临床医生等参与试验，包括设计试验方案和CRF、制定统计分析计划、分析数据、撰写中期和最终的试验总结报告。</w:t>
      </w:r>
    </w:p>
    <w:p>
      <w:pPr>
        <w:spacing w:line="560" w:lineRule="exact"/>
        <w:ind w:firstLine="640" w:firstLineChars="200"/>
        <w:rPr>
          <w:rFonts w:eastAsia="仿宋_GB2312"/>
          <w:sz w:val="22"/>
          <w:szCs w:val="22"/>
        </w:rPr>
      </w:pPr>
      <w:r>
        <w:rPr>
          <w:rFonts w:eastAsia="仿宋_GB2312"/>
          <w:sz w:val="22"/>
          <w:szCs w:val="22"/>
        </w:rPr>
        <w:t>（二）申办者应遵守药品监督管理部门制定的相关指导原则。</w:t>
      </w:r>
    </w:p>
    <w:p>
      <w:pPr>
        <w:spacing w:line="560" w:lineRule="exact"/>
        <w:ind w:firstLine="640" w:firstLineChars="200"/>
        <w:rPr>
          <w:rFonts w:eastAsia="仿宋_GB2312"/>
          <w:sz w:val="22"/>
          <w:szCs w:val="22"/>
        </w:rPr>
      </w:pPr>
      <w:bookmarkStart w:id="126" w:name="_Toc443990456"/>
      <w:bookmarkStart w:id="127" w:name="_Toc443995446"/>
      <w:bookmarkStart w:id="128" w:name="_Toc443995791"/>
      <w:bookmarkStart w:id="129" w:name="_Toc452726066"/>
      <w:bookmarkStart w:id="130" w:name="_Toc454451306"/>
      <w:r>
        <w:rPr>
          <w:rFonts w:ascii="黑体" w:hAnsi="黑体" w:eastAsia="黑体"/>
          <w:sz w:val="22"/>
          <w:szCs w:val="22"/>
        </w:rPr>
        <w:t>第三十五条</w:t>
      </w:r>
      <w:r>
        <w:rPr>
          <w:rFonts w:eastAsia="仿宋_GB2312"/>
          <w:sz w:val="22"/>
          <w:szCs w:val="22"/>
        </w:rPr>
        <w:t xml:space="preserve">  试验管理、数据处理与记录保存</w:t>
      </w:r>
      <w:bookmarkEnd w:id="126"/>
      <w:bookmarkEnd w:id="127"/>
      <w:bookmarkEnd w:id="128"/>
      <w:bookmarkEnd w:id="129"/>
      <w:bookmarkEnd w:id="130"/>
    </w:p>
    <w:p>
      <w:pPr>
        <w:spacing w:line="560" w:lineRule="exact"/>
        <w:ind w:firstLine="640" w:firstLineChars="200"/>
        <w:rPr>
          <w:rFonts w:eastAsia="仿宋_GB2312"/>
          <w:sz w:val="22"/>
          <w:szCs w:val="22"/>
        </w:rPr>
      </w:pPr>
      <w:r>
        <w:rPr>
          <w:rFonts w:eastAsia="仿宋_GB2312"/>
          <w:sz w:val="22"/>
          <w:szCs w:val="22"/>
        </w:rPr>
        <w:t>（一）申办者应选用有资质的人员监管试验的实施、数据处理、数据确认、统计分析和试验总结报告。</w:t>
      </w:r>
    </w:p>
    <w:p>
      <w:pPr>
        <w:spacing w:line="560" w:lineRule="exact"/>
        <w:ind w:firstLine="640" w:firstLineChars="200"/>
        <w:rPr>
          <w:rFonts w:eastAsia="仿宋_GB2312"/>
          <w:sz w:val="22"/>
          <w:szCs w:val="22"/>
        </w:rPr>
      </w:pPr>
      <w:r>
        <w:rPr>
          <w:rFonts w:eastAsia="仿宋_GB2312"/>
          <w:sz w:val="22"/>
          <w:szCs w:val="22"/>
        </w:rPr>
        <w:t>（二）申办者可以建立独立的数据监察委员会（IDMC），以定期评价临床试验的进展情况，包括安全性数据和重要的有效性终点数据。IDMC可以建议申办者是否可以继续进行、修改或停止正在进行的临床试验。IDMC应有书面的SOP，必须保存所有相关会议记录。</w:t>
      </w:r>
    </w:p>
    <w:p>
      <w:pPr>
        <w:spacing w:line="560" w:lineRule="exact"/>
        <w:ind w:firstLine="640" w:firstLineChars="200"/>
        <w:rPr>
          <w:rFonts w:eastAsia="仿宋_GB2312"/>
          <w:spacing w:val="2"/>
          <w:sz w:val="22"/>
          <w:szCs w:val="22"/>
        </w:rPr>
      </w:pPr>
      <w:r>
        <w:rPr>
          <w:rFonts w:eastAsia="仿宋_GB2312"/>
          <w:sz w:val="22"/>
          <w:szCs w:val="22"/>
        </w:rPr>
        <w:t>（三）</w:t>
      </w:r>
      <w:r>
        <w:rPr>
          <w:rFonts w:eastAsia="仿宋_GB2312"/>
          <w:spacing w:val="2"/>
          <w:sz w:val="22"/>
          <w:szCs w:val="22"/>
        </w:rPr>
        <w:t>申办者使用的电子数据管理系统，应通过合规的系统验证，以保证试验数据的完整、准确、可靠，符合预先设置的技术性能，并保证在整个试验过程中系统始终处于验证有效的状态。</w:t>
      </w:r>
    </w:p>
    <w:p>
      <w:pPr>
        <w:spacing w:line="560" w:lineRule="exact"/>
        <w:ind w:firstLine="640" w:firstLineChars="200"/>
        <w:rPr>
          <w:rFonts w:eastAsia="仿宋_GB2312"/>
          <w:spacing w:val="2"/>
          <w:sz w:val="22"/>
          <w:szCs w:val="22"/>
        </w:rPr>
      </w:pPr>
      <w:r>
        <w:rPr>
          <w:rFonts w:eastAsia="仿宋_GB2312"/>
          <w:sz w:val="22"/>
          <w:szCs w:val="22"/>
        </w:rPr>
        <w:t>（四）</w:t>
      </w:r>
      <w:r>
        <w:rPr>
          <w:rFonts w:eastAsia="仿宋_GB2312"/>
          <w:spacing w:val="2"/>
          <w:sz w:val="22"/>
          <w:szCs w:val="22"/>
        </w:rPr>
        <w:t>电子数据管理系统具有完整的SOP，覆盖电子数据管理的设置、安装和使用；SOP应说明该系统的验证、功能测试、数据采集和处理、系统维护、系统安全性测试、控制更改、数据备份、系统复原，及系统的突发事件和停止运行的应急处理预案；SOP应明确在计算机系统使用过程中，申办者、研究者和参加临床试验医疗机构的职责。所有使用计算机系统的人员应经过培训。</w:t>
      </w:r>
    </w:p>
    <w:p>
      <w:pPr>
        <w:spacing w:line="560" w:lineRule="exact"/>
        <w:ind w:firstLine="640" w:firstLineChars="200"/>
        <w:rPr>
          <w:rFonts w:eastAsia="仿宋_GB2312"/>
          <w:sz w:val="22"/>
          <w:szCs w:val="22"/>
        </w:rPr>
      </w:pPr>
      <w:r>
        <w:rPr>
          <w:rFonts w:eastAsia="仿宋_GB2312"/>
          <w:sz w:val="22"/>
          <w:szCs w:val="22"/>
        </w:rPr>
        <w:t>（五）计算机系统数据修改的方式应预先规定，其修改过程应完整记录，原数据（即保留电子数据稽查轨迹、数据轨迹和编辑轨迹）应保留；电子数据的整合、内容和结构应有明确规定，以确保电子数据的完整性；当计算机系统出现变更时，如软件升级或者数据转移等，这种确保电子数据的完整性更为重要。</w:t>
      </w:r>
    </w:p>
    <w:p>
      <w:pPr>
        <w:spacing w:line="560" w:lineRule="exact"/>
        <w:ind w:firstLine="640" w:firstLineChars="200"/>
        <w:rPr>
          <w:rFonts w:eastAsia="仿宋_GB2312"/>
          <w:sz w:val="22"/>
          <w:szCs w:val="22"/>
        </w:rPr>
      </w:pPr>
      <w:r>
        <w:rPr>
          <w:rFonts w:eastAsia="仿宋_GB2312"/>
          <w:sz w:val="22"/>
          <w:szCs w:val="22"/>
        </w:rPr>
        <w:t>若数据处理过程中发生数据转换，确保转换后的数据与原数据一致，和该数据转化过程的可见性。</w:t>
      </w:r>
    </w:p>
    <w:p>
      <w:pPr>
        <w:spacing w:line="560" w:lineRule="exact"/>
        <w:ind w:firstLine="640" w:firstLineChars="200"/>
        <w:rPr>
          <w:rFonts w:eastAsia="仿宋_GB2312"/>
          <w:sz w:val="22"/>
          <w:szCs w:val="22"/>
        </w:rPr>
      </w:pPr>
      <w:r>
        <w:rPr>
          <w:rFonts w:eastAsia="仿宋_GB2312"/>
          <w:sz w:val="22"/>
          <w:szCs w:val="22"/>
        </w:rPr>
        <w:t>（六）保证数据系统的安全性。未经授权的人员不能访问该数据系统；保存被授权修改数据人员的名单；电子数据应及时备份；盲法设计的临床试验，应始终保持盲法状态，包括数据录入和处理。</w:t>
      </w:r>
    </w:p>
    <w:p>
      <w:pPr>
        <w:spacing w:line="560" w:lineRule="exact"/>
        <w:ind w:firstLine="640" w:firstLineChars="200"/>
        <w:rPr>
          <w:rFonts w:eastAsia="仿宋_GB2312"/>
          <w:sz w:val="22"/>
          <w:szCs w:val="22"/>
        </w:rPr>
      </w:pPr>
      <w:r>
        <w:rPr>
          <w:rFonts w:eastAsia="仿宋_GB2312"/>
          <w:sz w:val="22"/>
          <w:szCs w:val="22"/>
        </w:rPr>
        <w:t>（七）申办者应使用受试者识别编码，以保证每一位受试者所有临床试验数据可溯源。双盲试验二级揭盲以后，申办者应及时把受试者的分组情况，告知研究者和受试者。</w:t>
      </w:r>
    </w:p>
    <w:p>
      <w:pPr>
        <w:spacing w:line="560" w:lineRule="exact"/>
        <w:ind w:firstLine="640" w:firstLineChars="200"/>
        <w:rPr>
          <w:rFonts w:eastAsia="仿宋_GB2312"/>
          <w:sz w:val="22"/>
          <w:szCs w:val="22"/>
        </w:rPr>
      </w:pPr>
      <w:r>
        <w:rPr>
          <w:rFonts w:eastAsia="仿宋_GB2312"/>
          <w:sz w:val="22"/>
          <w:szCs w:val="22"/>
        </w:rPr>
        <w:t>（八）申办者须保存所有的临床试验数据，包括有些临床试验参与者获得的其他数据，这些也应作为申办者的特定数据保留在临床试验的必备文件内。申办者保留的必备文件，应符合药品监督管理部门对药物临床试验必备文件的管理要求。</w:t>
      </w:r>
    </w:p>
    <w:p>
      <w:pPr>
        <w:spacing w:line="560" w:lineRule="exact"/>
        <w:ind w:firstLine="640" w:firstLineChars="200"/>
        <w:rPr>
          <w:rFonts w:eastAsia="仿宋_GB2312"/>
          <w:sz w:val="22"/>
          <w:szCs w:val="22"/>
        </w:rPr>
      </w:pPr>
      <w:r>
        <w:rPr>
          <w:rFonts w:eastAsia="仿宋_GB2312"/>
          <w:sz w:val="22"/>
          <w:szCs w:val="22"/>
        </w:rPr>
        <w:t>（九）申办者中止进行中的临床试验，应通知所有相关的研究者及其供职的医疗机构和相应的管理部门。</w:t>
      </w:r>
    </w:p>
    <w:p>
      <w:pPr>
        <w:spacing w:line="560" w:lineRule="exact"/>
        <w:ind w:firstLine="640" w:firstLineChars="200"/>
        <w:rPr>
          <w:rFonts w:eastAsia="仿宋_GB2312"/>
          <w:sz w:val="22"/>
          <w:szCs w:val="22"/>
        </w:rPr>
      </w:pPr>
      <w:r>
        <w:rPr>
          <w:rFonts w:eastAsia="仿宋_GB2312"/>
          <w:sz w:val="22"/>
          <w:szCs w:val="22"/>
        </w:rPr>
        <w:t>（十）试验数据所有权限的转移，需符合相关法规的要求。</w:t>
      </w:r>
    </w:p>
    <w:p>
      <w:pPr>
        <w:spacing w:line="560" w:lineRule="exact"/>
        <w:ind w:firstLine="640" w:firstLineChars="200"/>
        <w:rPr>
          <w:rFonts w:eastAsia="仿宋_GB2312"/>
          <w:sz w:val="22"/>
          <w:szCs w:val="22"/>
        </w:rPr>
      </w:pPr>
      <w:r>
        <w:rPr>
          <w:rFonts w:eastAsia="仿宋_GB2312"/>
          <w:sz w:val="22"/>
          <w:szCs w:val="22"/>
        </w:rPr>
        <w:t>（十一）申办者因任何原因停止临床试验，应保存相关的必备文件至临床试验正式停止或暂停后至少5年，或与必备文件管理的相关法规一致。</w:t>
      </w:r>
    </w:p>
    <w:p>
      <w:pPr>
        <w:spacing w:line="560" w:lineRule="exact"/>
        <w:ind w:firstLine="640" w:firstLineChars="200"/>
        <w:rPr>
          <w:rFonts w:eastAsia="仿宋_GB2312"/>
          <w:sz w:val="22"/>
          <w:szCs w:val="22"/>
        </w:rPr>
      </w:pPr>
      <w:r>
        <w:rPr>
          <w:rFonts w:eastAsia="仿宋_GB2312"/>
          <w:sz w:val="22"/>
          <w:szCs w:val="22"/>
        </w:rPr>
        <w:t>（十二）申办者的必备文件应保留至药物被批准上市后至少2年，或至临床试验正式停止或暂停后至少5年。根据药品监督管理部门要求或申办者内部制度时，可以延长文件的保留期限。</w:t>
      </w:r>
    </w:p>
    <w:p>
      <w:pPr>
        <w:spacing w:line="560" w:lineRule="exact"/>
        <w:ind w:firstLine="640" w:firstLineChars="200"/>
        <w:rPr>
          <w:rFonts w:eastAsia="仿宋_GB2312"/>
          <w:sz w:val="22"/>
          <w:szCs w:val="22"/>
        </w:rPr>
      </w:pPr>
      <w:r>
        <w:rPr>
          <w:rFonts w:eastAsia="仿宋_GB2312"/>
          <w:sz w:val="22"/>
          <w:szCs w:val="22"/>
        </w:rPr>
        <w:t>（十三）申办者应书面告知研究者及供职的医疗机构对试验记录保存的要求；当试验相关记录不再需要时，申办者也应书面告知研究者及供职的医疗机构。</w:t>
      </w:r>
    </w:p>
    <w:p>
      <w:pPr>
        <w:spacing w:line="560" w:lineRule="exact"/>
        <w:ind w:firstLine="640" w:firstLineChars="200"/>
        <w:rPr>
          <w:rFonts w:eastAsia="仿宋_GB2312"/>
          <w:sz w:val="22"/>
          <w:szCs w:val="22"/>
        </w:rPr>
      </w:pPr>
      <w:bookmarkStart w:id="131" w:name="_Toc443990457"/>
      <w:bookmarkStart w:id="132" w:name="_Toc443995447"/>
      <w:bookmarkStart w:id="133" w:name="_Toc443995792"/>
      <w:bookmarkStart w:id="134" w:name="_Toc452726067"/>
      <w:bookmarkStart w:id="135" w:name="_Toc454451307"/>
      <w:r>
        <w:rPr>
          <w:rFonts w:ascii="黑体" w:hAnsi="黑体" w:eastAsia="黑体"/>
          <w:sz w:val="22"/>
          <w:szCs w:val="22"/>
        </w:rPr>
        <w:t>第三十六条</w:t>
      </w:r>
      <w:r>
        <w:rPr>
          <w:rFonts w:eastAsia="仿宋_GB2312"/>
          <w:sz w:val="22"/>
          <w:szCs w:val="22"/>
        </w:rPr>
        <w:t xml:space="preserve">  选择研究者</w:t>
      </w:r>
      <w:bookmarkEnd w:id="131"/>
      <w:bookmarkEnd w:id="132"/>
      <w:bookmarkEnd w:id="133"/>
      <w:bookmarkEnd w:id="134"/>
      <w:bookmarkEnd w:id="135"/>
    </w:p>
    <w:p>
      <w:pPr>
        <w:spacing w:line="560" w:lineRule="exact"/>
        <w:ind w:firstLine="640" w:firstLineChars="200"/>
        <w:rPr>
          <w:rFonts w:eastAsia="仿宋_GB2312"/>
          <w:sz w:val="22"/>
          <w:szCs w:val="22"/>
        </w:rPr>
      </w:pPr>
      <w:r>
        <w:rPr>
          <w:rFonts w:eastAsia="仿宋_GB2312"/>
          <w:sz w:val="22"/>
          <w:szCs w:val="22"/>
        </w:rPr>
        <w:t>（一）申办者负责选择研究者及其供职的医疗机构。研究者均应经过药物临床试验的培训、有临床试验的经验，能够运用足够的医疗资源完成临床试验。</w:t>
      </w:r>
    </w:p>
    <w:p>
      <w:pPr>
        <w:spacing w:line="560" w:lineRule="exact"/>
        <w:ind w:firstLine="640" w:firstLineChars="200"/>
        <w:rPr>
          <w:rFonts w:eastAsia="仿宋_GB2312"/>
          <w:spacing w:val="-6"/>
          <w:sz w:val="22"/>
          <w:szCs w:val="22"/>
        </w:rPr>
      </w:pPr>
      <w:r>
        <w:rPr>
          <w:rFonts w:eastAsia="仿宋_GB2312"/>
          <w:sz w:val="22"/>
          <w:szCs w:val="22"/>
        </w:rPr>
        <w:t>在多中心临</w:t>
      </w:r>
      <w:r>
        <w:rPr>
          <w:rFonts w:eastAsia="仿宋_GB2312"/>
          <w:spacing w:val="-6"/>
          <w:sz w:val="22"/>
          <w:szCs w:val="22"/>
        </w:rPr>
        <w:t>床试验中，申办者负责选择、确定临床试验的主要研究者和其供职的医疗机构作为临床研究的负责人和组长单位。</w:t>
      </w:r>
    </w:p>
    <w:p>
      <w:pPr>
        <w:spacing w:line="560" w:lineRule="exact"/>
        <w:ind w:firstLine="640" w:firstLineChars="200"/>
        <w:rPr>
          <w:rFonts w:eastAsia="仿宋_GB2312"/>
          <w:sz w:val="22"/>
          <w:szCs w:val="22"/>
        </w:rPr>
      </w:pPr>
      <w:r>
        <w:rPr>
          <w:rFonts w:eastAsia="仿宋_GB2312"/>
          <w:sz w:val="22"/>
          <w:szCs w:val="22"/>
        </w:rPr>
        <w:t>（二）申办者选择涉及医学判断的样本测定实验室，应符合相关规定。临床试验中采集标本的管理、检测、运输和储存应执行《药品非临床研究质量管理规范》的要求。禁止实施与伦理委员会批准的药物临床试验方案无关的生物样本检测（如基因）。试验结束后，剩余标本的继续保存或者将来可能被使用等情况，应由受试者签署知情同意书，并说明保存的时间和数据的保密性问题；在何种情况下数据和样本可以和其他研究者共享等。</w:t>
      </w:r>
    </w:p>
    <w:p>
      <w:pPr>
        <w:spacing w:line="560" w:lineRule="exact"/>
        <w:ind w:firstLine="640" w:firstLineChars="200"/>
        <w:rPr>
          <w:rFonts w:eastAsia="仿宋_GB2312"/>
          <w:sz w:val="22"/>
          <w:szCs w:val="22"/>
        </w:rPr>
      </w:pPr>
      <w:r>
        <w:rPr>
          <w:rFonts w:eastAsia="仿宋_GB2312"/>
          <w:sz w:val="22"/>
          <w:szCs w:val="22"/>
        </w:rPr>
        <w:t>（三）申办者应向研究者及其供职的医疗机构提供试验方案和最新的研究者手册，并应提供足够的时间让研究者及其供职的医疗机构审议试验方案及相关资料。临床试验实施前，申办者与研究者及其供职的医疗机构应签署合同。</w:t>
      </w:r>
    </w:p>
    <w:p>
      <w:pPr>
        <w:spacing w:line="560" w:lineRule="exact"/>
        <w:ind w:firstLine="640" w:firstLineChars="200"/>
        <w:rPr>
          <w:rFonts w:eastAsia="仿宋_GB2312"/>
          <w:sz w:val="22"/>
          <w:szCs w:val="22"/>
        </w:rPr>
      </w:pPr>
      <w:bookmarkStart w:id="136" w:name="_Toc443990458"/>
      <w:bookmarkStart w:id="137" w:name="_Toc443995448"/>
      <w:bookmarkStart w:id="138" w:name="_Toc443995793"/>
      <w:bookmarkStart w:id="139" w:name="_Toc452726068"/>
      <w:bookmarkStart w:id="140" w:name="_Toc454451308"/>
      <w:r>
        <w:rPr>
          <w:rFonts w:ascii="黑体" w:hAnsi="黑体" w:eastAsia="黑体"/>
          <w:sz w:val="22"/>
          <w:szCs w:val="22"/>
        </w:rPr>
        <w:t>第三十七条</w:t>
      </w:r>
      <w:r>
        <w:rPr>
          <w:rFonts w:eastAsia="仿宋_GB2312"/>
          <w:sz w:val="22"/>
          <w:szCs w:val="22"/>
        </w:rPr>
        <w:t xml:space="preserve">  责任落实</w:t>
      </w:r>
      <w:bookmarkEnd w:id="136"/>
      <w:bookmarkEnd w:id="137"/>
      <w:bookmarkEnd w:id="138"/>
      <w:bookmarkEnd w:id="139"/>
      <w:bookmarkEnd w:id="140"/>
    </w:p>
    <w:p>
      <w:pPr>
        <w:spacing w:line="560" w:lineRule="exact"/>
        <w:ind w:firstLine="640" w:firstLineChars="200"/>
        <w:rPr>
          <w:rFonts w:eastAsia="仿宋_GB2312"/>
          <w:sz w:val="22"/>
          <w:szCs w:val="22"/>
        </w:rPr>
      </w:pPr>
      <w:r>
        <w:rPr>
          <w:rFonts w:eastAsia="仿宋_GB2312"/>
          <w:sz w:val="22"/>
          <w:szCs w:val="22"/>
        </w:rPr>
        <w:t>临床试验开始前，申办者应明确试验各方的职责，并在合同中注明。</w:t>
      </w:r>
    </w:p>
    <w:p>
      <w:pPr>
        <w:spacing w:line="560" w:lineRule="exact"/>
        <w:ind w:firstLine="640" w:firstLineChars="200"/>
        <w:rPr>
          <w:rFonts w:eastAsia="仿宋_GB2312"/>
          <w:sz w:val="22"/>
          <w:szCs w:val="22"/>
        </w:rPr>
      </w:pPr>
      <w:bookmarkStart w:id="141" w:name="_Toc443990459"/>
      <w:bookmarkStart w:id="142" w:name="_Toc443995449"/>
      <w:bookmarkStart w:id="143" w:name="_Toc443995794"/>
      <w:bookmarkStart w:id="144" w:name="_Toc452726069"/>
      <w:bookmarkStart w:id="145" w:name="_Toc454451309"/>
      <w:r>
        <w:rPr>
          <w:rFonts w:ascii="黑体" w:hAnsi="黑体" w:eastAsia="黑体"/>
          <w:sz w:val="22"/>
          <w:szCs w:val="22"/>
        </w:rPr>
        <w:t>第三十八条</w:t>
      </w:r>
      <w:r>
        <w:rPr>
          <w:rFonts w:eastAsia="仿宋_GB2312"/>
          <w:sz w:val="22"/>
          <w:szCs w:val="22"/>
        </w:rPr>
        <w:t xml:space="preserve">  给受试者和研究者的补偿</w:t>
      </w:r>
      <w:bookmarkEnd w:id="141"/>
      <w:bookmarkEnd w:id="142"/>
      <w:bookmarkEnd w:id="143"/>
      <w:bookmarkEnd w:id="144"/>
      <w:bookmarkEnd w:id="145"/>
    </w:p>
    <w:p>
      <w:pPr>
        <w:spacing w:line="560" w:lineRule="exact"/>
        <w:ind w:firstLine="640" w:firstLineChars="200"/>
        <w:rPr>
          <w:rFonts w:eastAsia="仿宋_GB2312"/>
          <w:sz w:val="22"/>
          <w:szCs w:val="22"/>
        </w:rPr>
      </w:pPr>
      <w:r>
        <w:rPr>
          <w:rFonts w:eastAsia="仿宋_GB2312"/>
          <w:sz w:val="22"/>
          <w:szCs w:val="22"/>
        </w:rPr>
        <w:t>（一）申办者应在相关法律法规规定的范畴内，向研究者及其供职的医疗机构提供与临床试验相关的法律上、经济上的保险或担保，但不包括研究者及其供职的医疗机构自身的过失所致的损害。</w:t>
      </w:r>
    </w:p>
    <w:p>
      <w:pPr>
        <w:spacing w:line="560" w:lineRule="exact"/>
        <w:ind w:firstLine="640" w:firstLineChars="200"/>
        <w:rPr>
          <w:rFonts w:eastAsia="仿宋_GB2312"/>
          <w:sz w:val="22"/>
          <w:szCs w:val="22"/>
        </w:rPr>
      </w:pPr>
      <w:r>
        <w:rPr>
          <w:rFonts w:eastAsia="仿宋_GB2312"/>
          <w:sz w:val="22"/>
          <w:szCs w:val="22"/>
        </w:rPr>
        <w:t>（二）申办者必须承担受试者与试验相关的损害或死亡的诊疗费用，和相应的经济补偿。申办者和研究者应及时兑付给予受试者的补偿。</w:t>
      </w:r>
    </w:p>
    <w:p>
      <w:pPr>
        <w:spacing w:line="560" w:lineRule="exact"/>
        <w:ind w:firstLine="640" w:firstLineChars="200"/>
        <w:rPr>
          <w:rFonts w:eastAsia="仿宋_GB2312"/>
          <w:sz w:val="22"/>
          <w:szCs w:val="22"/>
        </w:rPr>
      </w:pPr>
      <w:r>
        <w:rPr>
          <w:rFonts w:eastAsia="仿宋_GB2312"/>
          <w:sz w:val="22"/>
          <w:szCs w:val="22"/>
        </w:rPr>
        <w:t>（三）申办者提供给受试者补偿的方式方法，必须符合相关的法律法规要求。</w:t>
      </w:r>
    </w:p>
    <w:p>
      <w:pPr>
        <w:spacing w:line="560" w:lineRule="exact"/>
        <w:ind w:firstLine="640" w:firstLineChars="200"/>
        <w:rPr>
          <w:rFonts w:eastAsia="仿宋_GB2312"/>
          <w:sz w:val="22"/>
          <w:szCs w:val="22"/>
        </w:rPr>
      </w:pPr>
      <w:bookmarkStart w:id="146" w:name="_Toc452726070"/>
      <w:bookmarkStart w:id="147" w:name="_Toc454451310"/>
      <w:bookmarkStart w:id="148" w:name="_Toc443990460"/>
      <w:bookmarkStart w:id="149" w:name="_Toc443995450"/>
      <w:bookmarkStart w:id="150" w:name="_Toc443995795"/>
      <w:r>
        <w:rPr>
          <w:rFonts w:ascii="黑体" w:hAnsi="黑体" w:eastAsia="黑体"/>
          <w:sz w:val="22"/>
          <w:szCs w:val="22"/>
        </w:rPr>
        <w:t>第三十九条</w:t>
      </w:r>
      <w:r>
        <w:rPr>
          <w:rFonts w:eastAsia="仿宋_GB2312"/>
          <w:sz w:val="22"/>
          <w:szCs w:val="22"/>
        </w:rPr>
        <w:t xml:space="preserve">  临床试验合同</w:t>
      </w:r>
      <w:bookmarkEnd w:id="146"/>
      <w:bookmarkEnd w:id="147"/>
    </w:p>
    <w:p>
      <w:pPr>
        <w:spacing w:line="560" w:lineRule="exact"/>
        <w:ind w:firstLine="640" w:firstLineChars="200"/>
        <w:rPr>
          <w:rFonts w:eastAsia="仿宋_GB2312"/>
          <w:sz w:val="22"/>
          <w:szCs w:val="22"/>
        </w:rPr>
      </w:pPr>
      <w:r>
        <w:rPr>
          <w:rFonts w:eastAsia="仿宋_GB2312"/>
          <w:sz w:val="22"/>
          <w:szCs w:val="22"/>
        </w:rPr>
        <w:t>申办者与研究者及其供职的医疗机构签署的合同，应明确试验各方的责任、权利和利益，同时避免可能存在的利益冲突。合同的试验经费应合理，符合市场规律，同时也应明确各方应避免的、可能的利益冲突相关问题。</w:t>
      </w:r>
    </w:p>
    <w:p>
      <w:pPr>
        <w:spacing w:line="560" w:lineRule="exact"/>
        <w:ind w:firstLine="640" w:firstLineChars="200"/>
        <w:rPr>
          <w:rFonts w:eastAsia="仿宋_GB2312"/>
          <w:sz w:val="22"/>
          <w:szCs w:val="22"/>
        </w:rPr>
      </w:pPr>
      <w:r>
        <w:rPr>
          <w:rFonts w:eastAsia="仿宋_GB2312"/>
          <w:sz w:val="22"/>
          <w:szCs w:val="22"/>
        </w:rPr>
        <w:t>合同内容中应包括：临床试验的实施过程中遵守本规范及相关的药物临床试验的其他法律法规；执行经过申办者和研究者协商确定的、伦理委员会批准的试验方案；遵守数据记录和报告程序；同意监查、稽查和检查；试验相关必备文件的保存及其保存期限；发表文章等的约定。申办者和研究者及其供职的医疗机构应在合同上签字确认。</w:t>
      </w:r>
    </w:p>
    <w:bookmarkEnd w:id="148"/>
    <w:bookmarkEnd w:id="149"/>
    <w:bookmarkEnd w:id="150"/>
    <w:p>
      <w:pPr>
        <w:spacing w:line="560" w:lineRule="exact"/>
        <w:ind w:firstLine="640" w:firstLineChars="200"/>
        <w:rPr>
          <w:rFonts w:eastAsia="仿宋_GB2312"/>
          <w:sz w:val="22"/>
          <w:szCs w:val="22"/>
        </w:rPr>
      </w:pPr>
      <w:bookmarkStart w:id="151" w:name="_Toc443990461"/>
      <w:bookmarkStart w:id="152" w:name="_Toc443995451"/>
      <w:bookmarkStart w:id="153" w:name="_Toc443995796"/>
      <w:bookmarkStart w:id="154" w:name="_Toc452726072"/>
      <w:bookmarkStart w:id="155" w:name="_Toc454451311"/>
      <w:r>
        <w:rPr>
          <w:rFonts w:ascii="黑体" w:hAnsi="黑体" w:eastAsia="黑体"/>
          <w:sz w:val="22"/>
          <w:szCs w:val="22"/>
        </w:rPr>
        <w:t>第四十条</w:t>
      </w:r>
      <w:r>
        <w:rPr>
          <w:rFonts w:eastAsia="仿宋_GB2312"/>
          <w:sz w:val="22"/>
          <w:szCs w:val="22"/>
        </w:rPr>
        <w:t xml:space="preserve">  药品监督管理部门的许可</w:t>
      </w:r>
      <w:bookmarkEnd w:id="151"/>
      <w:bookmarkEnd w:id="152"/>
      <w:bookmarkEnd w:id="153"/>
      <w:bookmarkEnd w:id="154"/>
      <w:bookmarkEnd w:id="155"/>
      <w:r>
        <w:rPr>
          <w:rFonts w:eastAsia="仿宋_GB2312"/>
          <w:sz w:val="22"/>
          <w:szCs w:val="22"/>
        </w:rPr>
        <w:t>、备案</w:t>
      </w:r>
    </w:p>
    <w:p>
      <w:pPr>
        <w:spacing w:line="560" w:lineRule="exact"/>
        <w:ind w:firstLine="640" w:firstLineChars="200"/>
        <w:rPr>
          <w:rFonts w:eastAsia="仿宋_GB2312"/>
          <w:sz w:val="22"/>
          <w:szCs w:val="22"/>
        </w:rPr>
      </w:pPr>
      <w:r>
        <w:rPr>
          <w:rFonts w:eastAsia="仿宋_GB2312"/>
          <w:sz w:val="22"/>
          <w:szCs w:val="22"/>
        </w:rPr>
        <w:t>临床试验开始前，申办者应向药品监督管理部门提出药物临床试验的申请，并提交相关的临床试验资料，并获得临床试验的许可或完成备案。递交的文件资料应注明版本号及版本日期。</w:t>
      </w:r>
    </w:p>
    <w:p>
      <w:pPr>
        <w:spacing w:line="560" w:lineRule="exact"/>
        <w:ind w:firstLine="640" w:firstLineChars="200"/>
        <w:rPr>
          <w:rFonts w:eastAsia="仿宋_GB2312"/>
          <w:sz w:val="22"/>
          <w:szCs w:val="22"/>
        </w:rPr>
      </w:pPr>
      <w:bookmarkStart w:id="156" w:name="_Toc443990462"/>
      <w:bookmarkStart w:id="157" w:name="_Toc443995452"/>
      <w:bookmarkStart w:id="158" w:name="_Toc443995797"/>
      <w:bookmarkStart w:id="159" w:name="_Toc452726073"/>
      <w:bookmarkStart w:id="160" w:name="_Toc454451312"/>
      <w:r>
        <w:rPr>
          <w:rFonts w:ascii="黑体" w:hAnsi="黑体" w:eastAsia="黑体"/>
          <w:sz w:val="22"/>
          <w:szCs w:val="22"/>
        </w:rPr>
        <w:t>第四十一条</w:t>
      </w:r>
      <w:r>
        <w:rPr>
          <w:rFonts w:eastAsia="仿宋_GB2312"/>
          <w:sz w:val="22"/>
          <w:szCs w:val="22"/>
        </w:rPr>
        <w:t xml:space="preserve">  伦理委员会的审查批准</w:t>
      </w:r>
      <w:bookmarkEnd w:id="156"/>
      <w:bookmarkEnd w:id="157"/>
      <w:bookmarkEnd w:id="158"/>
      <w:bookmarkEnd w:id="159"/>
      <w:bookmarkEnd w:id="160"/>
    </w:p>
    <w:p>
      <w:pPr>
        <w:spacing w:line="560" w:lineRule="exact"/>
        <w:ind w:firstLine="640" w:firstLineChars="200"/>
        <w:rPr>
          <w:rFonts w:eastAsia="仿宋_GB2312"/>
          <w:sz w:val="22"/>
          <w:szCs w:val="22"/>
        </w:rPr>
      </w:pPr>
      <w:r>
        <w:rPr>
          <w:rFonts w:eastAsia="仿宋_GB2312"/>
          <w:sz w:val="22"/>
          <w:szCs w:val="22"/>
        </w:rPr>
        <w:t>（一）申办者应获得伦理委员会的批准后方可进行临床试验。</w:t>
      </w:r>
    </w:p>
    <w:p>
      <w:pPr>
        <w:spacing w:line="560" w:lineRule="exact"/>
        <w:ind w:firstLine="640" w:firstLineChars="200"/>
        <w:rPr>
          <w:rFonts w:eastAsia="仿宋_GB2312"/>
          <w:sz w:val="22"/>
          <w:szCs w:val="22"/>
        </w:rPr>
      </w:pPr>
      <w:r>
        <w:rPr>
          <w:rFonts w:eastAsia="仿宋_GB2312"/>
          <w:sz w:val="22"/>
          <w:szCs w:val="22"/>
        </w:rPr>
        <w:t>（二）申办者应获取伦理委员会审查的批准文件和其他相关资料，包括：伦理委员会的名称和地址；参与项目审查的伦理委员会成员；审查过程符合本规范及相关法律法规的要求的声明；伦理委员会批准进行该临床试验并列出所审阅的文件，如最新的临床试验方案、受试者的书面知情同意书、提供给受试者的书面文件、受试者入选程序、支付受试者的补偿方式的相关文件，和</w:t>
      </w:r>
      <w:bookmarkStart w:id="161" w:name="OLE_LINK6"/>
      <w:r>
        <w:rPr>
          <w:rFonts w:eastAsia="仿宋_GB2312"/>
          <w:sz w:val="22"/>
          <w:szCs w:val="22"/>
        </w:rPr>
        <w:t>伦理委员会审查需要的其他文件</w:t>
      </w:r>
      <w:bookmarkEnd w:id="161"/>
      <w:r>
        <w:rPr>
          <w:rFonts w:eastAsia="仿宋_GB2312"/>
          <w:sz w:val="22"/>
          <w:szCs w:val="22"/>
        </w:rPr>
        <w:t>。</w:t>
      </w:r>
    </w:p>
    <w:p>
      <w:pPr>
        <w:spacing w:line="560" w:lineRule="exact"/>
        <w:ind w:firstLine="640" w:firstLineChars="200"/>
        <w:rPr>
          <w:rFonts w:eastAsia="仿宋_GB2312"/>
          <w:sz w:val="22"/>
          <w:szCs w:val="22"/>
        </w:rPr>
      </w:pPr>
      <w:r>
        <w:rPr>
          <w:rFonts w:eastAsia="仿宋_GB2312"/>
          <w:sz w:val="22"/>
          <w:szCs w:val="22"/>
        </w:rPr>
        <w:t>（三）伦理委员会的审查意见若为“作必要的修正后批准”时，如修改方案、知情同意书、提供给受试者和/或其他相关文件，申办者应与研究者及其供职的医疗机构协商，修改相关文件，递交伦理委员会。</w:t>
      </w:r>
    </w:p>
    <w:p>
      <w:pPr>
        <w:spacing w:line="560" w:lineRule="exact"/>
        <w:ind w:firstLine="640" w:firstLineChars="200"/>
        <w:rPr>
          <w:rFonts w:eastAsia="仿宋_GB2312"/>
          <w:sz w:val="22"/>
          <w:szCs w:val="22"/>
        </w:rPr>
      </w:pPr>
      <w:r>
        <w:rPr>
          <w:rFonts w:eastAsia="仿宋_GB2312"/>
          <w:sz w:val="22"/>
          <w:szCs w:val="22"/>
        </w:rPr>
        <w:t>（四）伦理委员会的审查意见若为“不批准”时，申办者和研究者对临床试验的相关问题进行修改后，递交伦理委员会重新审查。</w:t>
      </w:r>
    </w:p>
    <w:p>
      <w:pPr>
        <w:spacing w:line="560" w:lineRule="exact"/>
        <w:ind w:firstLine="640" w:firstLineChars="200"/>
        <w:rPr>
          <w:rFonts w:eastAsia="仿宋_GB2312"/>
          <w:sz w:val="22"/>
          <w:szCs w:val="22"/>
        </w:rPr>
      </w:pPr>
      <w:bookmarkStart w:id="162" w:name="_Toc443990463"/>
      <w:bookmarkStart w:id="163" w:name="_Toc443995453"/>
      <w:bookmarkStart w:id="164" w:name="_Toc443995798"/>
      <w:bookmarkStart w:id="165" w:name="_Toc452726074"/>
      <w:bookmarkStart w:id="166" w:name="_Toc454451313"/>
      <w:r>
        <w:rPr>
          <w:rFonts w:ascii="黑体" w:hAnsi="黑体" w:eastAsia="黑体"/>
          <w:sz w:val="22"/>
          <w:szCs w:val="22"/>
        </w:rPr>
        <w:t>第四十二条</w:t>
      </w:r>
      <w:r>
        <w:rPr>
          <w:rFonts w:eastAsia="仿宋_GB2312"/>
          <w:sz w:val="22"/>
          <w:szCs w:val="22"/>
        </w:rPr>
        <w:t xml:space="preserve">  试验药物的信息</w:t>
      </w:r>
      <w:bookmarkEnd w:id="162"/>
      <w:bookmarkEnd w:id="163"/>
      <w:bookmarkEnd w:id="164"/>
      <w:bookmarkEnd w:id="165"/>
      <w:bookmarkEnd w:id="166"/>
    </w:p>
    <w:p>
      <w:pPr>
        <w:spacing w:line="560" w:lineRule="exact"/>
        <w:ind w:firstLine="640" w:firstLineChars="200"/>
        <w:rPr>
          <w:rFonts w:eastAsia="仿宋_GB2312"/>
          <w:sz w:val="22"/>
          <w:szCs w:val="22"/>
        </w:rPr>
      </w:pPr>
      <w:r>
        <w:rPr>
          <w:rFonts w:eastAsia="仿宋_GB2312"/>
          <w:sz w:val="22"/>
          <w:szCs w:val="22"/>
        </w:rPr>
        <w:t>（一）申办者在拟定临床试验方案时，应有充足的非临床安全性、有效性的试验药物研究数据支持该项临床试验；或者曾使用该药物的受试人群的给药途径、剂量和持续用药时间的安全性和有效性数据能够支持该项试验。</w:t>
      </w:r>
    </w:p>
    <w:p>
      <w:pPr>
        <w:spacing w:line="560" w:lineRule="exact"/>
        <w:ind w:firstLine="640" w:firstLineChars="200"/>
        <w:rPr>
          <w:rFonts w:eastAsia="仿宋_GB2312"/>
          <w:sz w:val="22"/>
          <w:szCs w:val="22"/>
        </w:rPr>
      </w:pPr>
      <w:r>
        <w:rPr>
          <w:rFonts w:eastAsia="仿宋_GB2312"/>
          <w:sz w:val="22"/>
          <w:szCs w:val="22"/>
        </w:rPr>
        <w:t>（二）当获得重要的新信息时，申办者应及时更新研究者手册。</w:t>
      </w:r>
    </w:p>
    <w:p>
      <w:pPr>
        <w:spacing w:line="560" w:lineRule="exact"/>
        <w:ind w:firstLine="640" w:firstLineChars="200"/>
        <w:rPr>
          <w:rFonts w:eastAsia="仿宋_GB2312"/>
          <w:sz w:val="22"/>
          <w:szCs w:val="22"/>
        </w:rPr>
      </w:pPr>
      <w:bookmarkStart w:id="167" w:name="_Toc443990464"/>
      <w:bookmarkStart w:id="168" w:name="_Toc443995454"/>
      <w:bookmarkStart w:id="169" w:name="_Toc443995799"/>
      <w:bookmarkStart w:id="170" w:name="_Toc452726075"/>
      <w:bookmarkStart w:id="171" w:name="_Toc454451314"/>
      <w:r>
        <w:rPr>
          <w:rFonts w:ascii="黑体" w:hAnsi="黑体" w:eastAsia="黑体"/>
          <w:sz w:val="22"/>
          <w:szCs w:val="22"/>
        </w:rPr>
        <w:t>第四十三条</w:t>
      </w:r>
      <w:r>
        <w:rPr>
          <w:rFonts w:eastAsia="仿宋_GB2312"/>
          <w:sz w:val="22"/>
          <w:szCs w:val="22"/>
        </w:rPr>
        <w:t xml:space="preserve">  试验用药品的生产、包装、标签和编码</w:t>
      </w:r>
      <w:bookmarkEnd w:id="167"/>
      <w:bookmarkEnd w:id="168"/>
      <w:bookmarkEnd w:id="169"/>
      <w:bookmarkEnd w:id="170"/>
      <w:bookmarkEnd w:id="171"/>
    </w:p>
    <w:p>
      <w:pPr>
        <w:spacing w:line="560" w:lineRule="exact"/>
        <w:ind w:firstLine="640" w:firstLineChars="200"/>
        <w:rPr>
          <w:rFonts w:eastAsia="仿宋_GB2312"/>
          <w:sz w:val="22"/>
          <w:szCs w:val="22"/>
        </w:rPr>
      </w:pPr>
      <w:r>
        <w:rPr>
          <w:rFonts w:eastAsia="仿宋_GB2312"/>
          <w:sz w:val="22"/>
          <w:szCs w:val="22"/>
        </w:rPr>
        <w:t>（一）申办者必须在试验用药品的包装或使用说明上标明：试验用药品（包括对照药品和安慰剂）是否已经上市或仍处于研发阶段；试验药物生产符合GMP；药物的编码和标签必须保持临床试验的盲法状态。同时，试验药物的使用说明应符合药品监督管理部门的法律法规要求。</w:t>
      </w:r>
    </w:p>
    <w:p>
      <w:pPr>
        <w:spacing w:line="560" w:lineRule="exact"/>
        <w:ind w:firstLine="640" w:firstLineChars="200"/>
        <w:rPr>
          <w:rFonts w:eastAsia="仿宋_GB2312"/>
          <w:sz w:val="22"/>
          <w:szCs w:val="22"/>
        </w:rPr>
      </w:pPr>
      <w:r>
        <w:rPr>
          <w:rFonts w:eastAsia="仿宋_GB2312"/>
          <w:sz w:val="22"/>
          <w:szCs w:val="22"/>
        </w:rPr>
        <w:t>（二）申办者应明确规定，试验用药品的储存温度、储运条件（是否需要避光）、储存时限、药物溶液的配制方法和过程，及药物输注的装置要求等。试验用药品的使用方法应告知试验的所有相关人员，包括监查员、研究者、药剂师、药物保管人员等。</w:t>
      </w:r>
    </w:p>
    <w:p>
      <w:pPr>
        <w:spacing w:line="560" w:lineRule="exact"/>
        <w:ind w:firstLine="640" w:firstLineChars="200"/>
        <w:rPr>
          <w:rFonts w:eastAsia="仿宋_GB2312"/>
          <w:sz w:val="22"/>
          <w:szCs w:val="22"/>
        </w:rPr>
      </w:pPr>
      <w:r>
        <w:rPr>
          <w:rFonts w:eastAsia="仿宋_GB2312"/>
          <w:sz w:val="22"/>
          <w:szCs w:val="22"/>
        </w:rPr>
        <w:t>（三）试验用药品的包装，应能确保药物在运输和储存期间不被污染或变质。</w:t>
      </w:r>
    </w:p>
    <w:p>
      <w:pPr>
        <w:spacing w:line="560" w:lineRule="exact"/>
        <w:ind w:firstLine="640" w:firstLineChars="200"/>
        <w:rPr>
          <w:rFonts w:eastAsia="仿宋_GB2312"/>
          <w:sz w:val="22"/>
          <w:szCs w:val="22"/>
        </w:rPr>
      </w:pPr>
      <w:r>
        <w:rPr>
          <w:rFonts w:eastAsia="仿宋_GB2312"/>
          <w:sz w:val="22"/>
          <w:szCs w:val="22"/>
        </w:rPr>
        <w:t>（四）在盲法试验中，试验用药品的编码系统须包括紧急揭盲程序，以便在紧急医学状态时能够迅速识别何种试验用药品，而不破坏临床试验的盲法设计。</w:t>
      </w:r>
    </w:p>
    <w:p>
      <w:pPr>
        <w:spacing w:line="560" w:lineRule="exact"/>
        <w:ind w:firstLine="640" w:firstLineChars="200"/>
        <w:rPr>
          <w:rFonts w:eastAsia="仿宋_GB2312"/>
          <w:sz w:val="22"/>
          <w:szCs w:val="22"/>
        </w:rPr>
      </w:pPr>
      <w:r>
        <w:rPr>
          <w:rFonts w:eastAsia="仿宋_GB2312"/>
          <w:sz w:val="22"/>
          <w:szCs w:val="22"/>
        </w:rPr>
        <w:t>（五）临床研发过程中，若被试药物或对照药物的剂型有显著改变，必须在新剂型用于临床试验前，评估剂型的改变是否可能显著影响药物的药代动力学特征。</w:t>
      </w:r>
    </w:p>
    <w:p>
      <w:pPr>
        <w:spacing w:line="560" w:lineRule="exact"/>
        <w:ind w:firstLine="640" w:firstLineChars="200"/>
        <w:rPr>
          <w:rFonts w:eastAsia="仿宋_GB2312"/>
          <w:sz w:val="22"/>
          <w:szCs w:val="22"/>
        </w:rPr>
      </w:pPr>
      <w:bookmarkStart w:id="172" w:name="_Toc443990465"/>
      <w:bookmarkStart w:id="173" w:name="_Toc443995455"/>
      <w:bookmarkStart w:id="174" w:name="_Toc443995800"/>
      <w:bookmarkStart w:id="175" w:name="_Toc452726076"/>
      <w:bookmarkStart w:id="176" w:name="_Toc454451315"/>
      <w:r>
        <w:rPr>
          <w:rFonts w:ascii="黑体" w:hAnsi="黑体" w:eastAsia="黑体"/>
          <w:sz w:val="22"/>
          <w:szCs w:val="22"/>
        </w:rPr>
        <w:t>第四十四条</w:t>
      </w:r>
      <w:r>
        <w:rPr>
          <w:rFonts w:eastAsia="仿宋_GB2312"/>
          <w:sz w:val="22"/>
          <w:szCs w:val="22"/>
        </w:rPr>
        <w:t xml:space="preserve">  试验用药品的供给和管理</w:t>
      </w:r>
      <w:bookmarkEnd w:id="172"/>
      <w:bookmarkEnd w:id="173"/>
      <w:bookmarkEnd w:id="174"/>
      <w:bookmarkEnd w:id="175"/>
      <w:bookmarkEnd w:id="176"/>
    </w:p>
    <w:p>
      <w:pPr>
        <w:spacing w:line="560" w:lineRule="exact"/>
        <w:ind w:firstLine="640" w:firstLineChars="200"/>
        <w:rPr>
          <w:rFonts w:eastAsia="仿宋_GB2312"/>
          <w:sz w:val="22"/>
          <w:szCs w:val="22"/>
        </w:rPr>
      </w:pPr>
      <w:r>
        <w:rPr>
          <w:rFonts w:eastAsia="仿宋_GB2312"/>
          <w:sz w:val="22"/>
          <w:szCs w:val="22"/>
        </w:rPr>
        <w:t>（一）申办者负责向研究者及其供职的医疗机构提供试验用药品。</w:t>
      </w:r>
    </w:p>
    <w:p>
      <w:pPr>
        <w:spacing w:line="560" w:lineRule="exact"/>
        <w:ind w:firstLine="640" w:firstLineChars="200"/>
        <w:rPr>
          <w:rFonts w:eastAsia="仿宋_GB2312"/>
          <w:sz w:val="22"/>
          <w:szCs w:val="22"/>
        </w:rPr>
      </w:pPr>
      <w:r>
        <w:rPr>
          <w:rFonts w:eastAsia="仿宋_GB2312"/>
          <w:sz w:val="22"/>
          <w:szCs w:val="22"/>
        </w:rPr>
        <w:t>（二）申办者在获得伦理委员会和药品监督管理部门批准之前，不得向研究者及其供职的医疗机构提供试验用药品。</w:t>
      </w:r>
    </w:p>
    <w:p>
      <w:pPr>
        <w:spacing w:line="560" w:lineRule="exact"/>
        <w:ind w:firstLine="640" w:firstLineChars="200"/>
        <w:rPr>
          <w:rFonts w:eastAsia="仿宋_GB2312"/>
          <w:sz w:val="22"/>
          <w:szCs w:val="22"/>
        </w:rPr>
      </w:pPr>
      <w:r>
        <w:rPr>
          <w:rFonts w:eastAsia="仿宋_GB2312"/>
          <w:sz w:val="22"/>
          <w:szCs w:val="22"/>
        </w:rPr>
        <w:t>（三）申办者必须向研究者及其供职的医疗机构提供试验用药品的说明，说明应明确试验用药品的使用、储存和相关记录。制定试验用药品的供给和管理规程，包括数量的接收、储存、分发、使用及回收。从受试者处回收的未使用试验用药品应返回退还给申办者，或由申办者授权、由医疗机构遵守相关法规要求进行销毁。</w:t>
      </w:r>
    </w:p>
    <w:p>
      <w:pPr>
        <w:spacing w:line="560" w:lineRule="exact"/>
        <w:ind w:firstLine="640" w:firstLineChars="200"/>
        <w:rPr>
          <w:rFonts w:eastAsia="仿宋_GB2312"/>
          <w:sz w:val="22"/>
          <w:szCs w:val="22"/>
        </w:rPr>
      </w:pPr>
      <w:r>
        <w:rPr>
          <w:rFonts w:eastAsia="仿宋_GB2312"/>
          <w:sz w:val="22"/>
          <w:szCs w:val="22"/>
        </w:rPr>
        <w:t>（四）申办者应确保试验用药品及时送达研究者，保证受试者筛选成功后的使用；保存试验用药品的运输、接收、分发、回收和销毁记录；建立试验用药品回收管理制度，保证缺陷产品的召回、试验结束后的回收、过期的回收；建立未使用试验用药品的销毁制度。所有试验用药品的相关管理过程必须有书面记录。</w:t>
      </w:r>
    </w:p>
    <w:p>
      <w:pPr>
        <w:spacing w:line="560" w:lineRule="exact"/>
        <w:ind w:firstLine="640" w:firstLineChars="200"/>
        <w:rPr>
          <w:rFonts w:eastAsia="仿宋_GB2312"/>
          <w:sz w:val="22"/>
          <w:szCs w:val="22"/>
        </w:rPr>
      </w:pPr>
      <w:r>
        <w:rPr>
          <w:rFonts w:eastAsia="仿宋_GB2312"/>
          <w:sz w:val="22"/>
          <w:szCs w:val="22"/>
        </w:rPr>
        <w:t>（五）试验期间，申办者应采取措施确保试验用药品的稳定性；保证试验用药品的数量充足，不得使受试者的使用受到延误。若需要补充试验用药品的数量，新增的试验用药品必须保存其新批次样品的稳定性和分析记录。</w:t>
      </w:r>
    </w:p>
    <w:p>
      <w:pPr>
        <w:spacing w:line="560" w:lineRule="exact"/>
        <w:ind w:firstLine="640" w:firstLineChars="200"/>
        <w:rPr>
          <w:rFonts w:eastAsia="仿宋_GB2312"/>
          <w:sz w:val="22"/>
          <w:szCs w:val="22"/>
        </w:rPr>
      </w:pPr>
      <w:r>
        <w:rPr>
          <w:rFonts w:eastAsia="仿宋_GB2312"/>
          <w:sz w:val="22"/>
          <w:szCs w:val="22"/>
        </w:rPr>
        <w:t>试验用药品的留存样品保存期限，应在试验用药品稳定的时限内，保存至临床试验数据分析结束或相关法规要求的时限，两者不一致时取其中较长的时限。</w:t>
      </w:r>
    </w:p>
    <w:p>
      <w:pPr>
        <w:spacing w:line="560" w:lineRule="exact"/>
        <w:ind w:firstLine="640" w:firstLineChars="200"/>
        <w:rPr>
          <w:rFonts w:eastAsia="仿宋_GB2312"/>
          <w:sz w:val="22"/>
          <w:szCs w:val="22"/>
        </w:rPr>
      </w:pPr>
      <w:r>
        <w:rPr>
          <w:rFonts w:eastAsia="仿宋_GB2312"/>
          <w:sz w:val="22"/>
          <w:szCs w:val="22"/>
        </w:rPr>
        <w:t>生物等效性试验及人体生物利用度试验的试验用药品应留样，研究者随机抽取用于临床试验的药物和留存样品，留存样品与试验所用药品应为同一批次。留存样品数量应满足进行五次按质量标准全检的要求。医疗机构保存试验用药品留样至药品上市后至少2年。无适当保存条件的医疗机构可将留存样品委托符合条件的独立的第三方保存，但不应返还申办者或与其利益相关的第三方。</w:t>
      </w:r>
    </w:p>
    <w:p>
      <w:pPr>
        <w:spacing w:line="560" w:lineRule="exact"/>
        <w:ind w:firstLine="640" w:firstLineChars="200"/>
        <w:rPr>
          <w:rFonts w:eastAsia="仿宋_GB2312"/>
          <w:sz w:val="22"/>
          <w:szCs w:val="22"/>
        </w:rPr>
      </w:pPr>
      <w:bookmarkStart w:id="177" w:name="_Toc443990466"/>
      <w:bookmarkStart w:id="178" w:name="_Toc443995456"/>
      <w:bookmarkStart w:id="179" w:name="_Toc443995801"/>
      <w:bookmarkStart w:id="180" w:name="_Toc452726077"/>
      <w:bookmarkStart w:id="181" w:name="_Toc454451316"/>
      <w:r>
        <w:rPr>
          <w:rFonts w:ascii="黑体" w:hAnsi="黑体" w:eastAsia="黑体"/>
          <w:sz w:val="22"/>
          <w:szCs w:val="22"/>
        </w:rPr>
        <w:t>第四十五条</w:t>
      </w:r>
      <w:r>
        <w:rPr>
          <w:rFonts w:eastAsia="仿宋_GB2312"/>
          <w:sz w:val="22"/>
          <w:szCs w:val="22"/>
        </w:rPr>
        <w:t xml:space="preserve">  试验记录的查阅</w:t>
      </w:r>
      <w:bookmarkEnd w:id="177"/>
      <w:bookmarkEnd w:id="178"/>
      <w:bookmarkEnd w:id="179"/>
      <w:bookmarkEnd w:id="180"/>
      <w:bookmarkEnd w:id="181"/>
    </w:p>
    <w:p>
      <w:pPr>
        <w:spacing w:line="560" w:lineRule="exact"/>
        <w:ind w:firstLine="640" w:firstLineChars="200"/>
        <w:rPr>
          <w:rFonts w:eastAsia="仿宋_GB2312"/>
          <w:sz w:val="22"/>
          <w:szCs w:val="22"/>
        </w:rPr>
      </w:pPr>
      <w:r>
        <w:rPr>
          <w:rFonts w:eastAsia="仿宋_GB2312"/>
          <w:sz w:val="22"/>
          <w:szCs w:val="22"/>
        </w:rPr>
        <w:t>（一）申办者应在临床试验方案或书面合同中明确，研究者及供职的医疗机构允许申办方的监查员、稽查员、伦理委员会的审查者及药品监督管理部门的检查人员，直接查阅临床试验相关的源数据和源文件。</w:t>
      </w:r>
    </w:p>
    <w:p>
      <w:pPr>
        <w:spacing w:line="560" w:lineRule="exact"/>
        <w:ind w:firstLine="640" w:firstLineChars="200"/>
        <w:rPr>
          <w:rFonts w:eastAsia="仿宋_GB2312"/>
          <w:sz w:val="22"/>
          <w:szCs w:val="22"/>
        </w:rPr>
      </w:pPr>
      <w:r>
        <w:rPr>
          <w:rFonts w:eastAsia="仿宋_GB2312"/>
          <w:sz w:val="22"/>
          <w:szCs w:val="22"/>
        </w:rPr>
        <w:t>（二）申办者应核实每一位受试者签署了知情同意书。临床试验过程中监查员、稽查员、伦理委员会的审查者及药品监督管理部门的检查人员可以直接查阅受试者与药物临床试验有关的原始医学记录。</w:t>
      </w:r>
    </w:p>
    <w:p>
      <w:pPr>
        <w:spacing w:line="560" w:lineRule="exact"/>
        <w:ind w:firstLine="640" w:firstLineChars="200"/>
        <w:rPr>
          <w:rFonts w:eastAsia="仿宋_GB2312"/>
          <w:sz w:val="22"/>
          <w:szCs w:val="22"/>
        </w:rPr>
      </w:pPr>
      <w:bookmarkStart w:id="182" w:name="_Toc443990467"/>
      <w:bookmarkStart w:id="183" w:name="_Toc443995457"/>
      <w:bookmarkStart w:id="184" w:name="_Toc443995802"/>
      <w:bookmarkStart w:id="185" w:name="_Toc452726078"/>
      <w:bookmarkStart w:id="186" w:name="_Toc454451317"/>
      <w:r>
        <w:rPr>
          <w:rFonts w:ascii="黑体" w:hAnsi="黑体" w:eastAsia="黑体"/>
          <w:sz w:val="22"/>
          <w:szCs w:val="22"/>
        </w:rPr>
        <w:t>第四十六条</w:t>
      </w:r>
      <w:r>
        <w:rPr>
          <w:rFonts w:eastAsia="仿宋_GB2312"/>
          <w:sz w:val="22"/>
          <w:szCs w:val="22"/>
        </w:rPr>
        <w:t xml:space="preserve">  临床试验的安全性信息</w:t>
      </w:r>
      <w:bookmarkEnd w:id="182"/>
      <w:bookmarkEnd w:id="183"/>
      <w:bookmarkEnd w:id="184"/>
      <w:bookmarkEnd w:id="185"/>
      <w:bookmarkEnd w:id="186"/>
    </w:p>
    <w:p>
      <w:pPr>
        <w:spacing w:line="560" w:lineRule="exact"/>
        <w:ind w:firstLine="640" w:firstLineChars="200"/>
        <w:rPr>
          <w:rFonts w:eastAsia="仿宋_GB2312"/>
          <w:sz w:val="22"/>
          <w:szCs w:val="22"/>
        </w:rPr>
      </w:pPr>
      <w:r>
        <w:rPr>
          <w:rFonts w:eastAsia="仿宋_GB2312"/>
          <w:sz w:val="22"/>
          <w:szCs w:val="22"/>
        </w:rPr>
        <w:t>（一）申办者负责药物试验期间试验用药品的安全性评估。</w:t>
      </w:r>
    </w:p>
    <w:p>
      <w:pPr>
        <w:spacing w:line="560" w:lineRule="exact"/>
        <w:ind w:firstLine="640" w:firstLineChars="200"/>
        <w:rPr>
          <w:rFonts w:eastAsia="仿宋_GB2312"/>
          <w:sz w:val="22"/>
          <w:szCs w:val="22"/>
        </w:rPr>
      </w:pPr>
      <w:r>
        <w:rPr>
          <w:rFonts w:eastAsia="仿宋_GB2312"/>
          <w:sz w:val="22"/>
          <w:szCs w:val="22"/>
        </w:rPr>
        <w:t>（二）申办者应将临床试验中发现的任何可能影响受试者安全、可能影响临床试验实施、可能改变伦理委员会批准意见的问题，及时通告研究者及其供职的医疗机构、药品监督管理部门。</w:t>
      </w:r>
    </w:p>
    <w:p>
      <w:pPr>
        <w:spacing w:line="560" w:lineRule="exact"/>
        <w:ind w:firstLine="640" w:firstLineChars="200"/>
        <w:rPr>
          <w:rFonts w:eastAsia="仿宋_GB2312"/>
          <w:sz w:val="22"/>
          <w:szCs w:val="22"/>
        </w:rPr>
      </w:pPr>
      <w:bookmarkStart w:id="187" w:name="_Toc443990468"/>
      <w:bookmarkStart w:id="188" w:name="_Toc443995458"/>
      <w:bookmarkStart w:id="189" w:name="_Toc443995803"/>
      <w:bookmarkStart w:id="190" w:name="_Toc452726079"/>
      <w:bookmarkStart w:id="191" w:name="_Toc454451318"/>
      <w:r>
        <w:rPr>
          <w:rFonts w:ascii="黑体" w:hAnsi="黑体" w:eastAsia="黑体"/>
          <w:sz w:val="22"/>
          <w:szCs w:val="22"/>
        </w:rPr>
        <w:t>第四十七条</w:t>
      </w:r>
      <w:r>
        <w:rPr>
          <w:rFonts w:eastAsia="仿宋_GB2312"/>
          <w:sz w:val="22"/>
          <w:szCs w:val="22"/>
        </w:rPr>
        <w:t xml:space="preserve"> </w:t>
      </w:r>
      <w:r>
        <w:rPr>
          <w:rFonts w:hint="eastAsia" w:eastAsia="仿宋_GB2312"/>
          <w:sz w:val="22"/>
          <w:szCs w:val="22"/>
        </w:rPr>
        <w:t xml:space="preserve"> </w:t>
      </w:r>
      <w:r>
        <w:rPr>
          <w:rFonts w:eastAsia="仿宋_GB2312"/>
          <w:sz w:val="22"/>
          <w:szCs w:val="22"/>
        </w:rPr>
        <w:t>试验药物不良事件报告</w:t>
      </w:r>
      <w:bookmarkEnd w:id="187"/>
      <w:bookmarkEnd w:id="188"/>
      <w:bookmarkEnd w:id="189"/>
      <w:bookmarkEnd w:id="190"/>
      <w:bookmarkEnd w:id="191"/>
    </w:p>
    <w:p>
      <w:pPr>
        <w:spacing w:line="560" w:lineRule="exact"/>
        <w:ind w:firstLine="640" w:firstLineChars="200"/>
        <w:rPr>
          <w:rFonts w:eastAsia="仿宋_GB2312"/>
          <w:sz w:val="22"/>
          <w:szCs w:val="22"/>
        </w:rPr>
      </w:pPr>
      <w:r>
        <w:rPr>
          <w:rFonts w:eastAsia="仿宋_GB2312"/>
          <w:sz w:val="22"/>
          <w:szCs w:val="22"/>
        </w:rPr>
        <w:t>（一）申办者应将严重的和非预期的试验药物不良事件，及时报告给所有参加临床试验的研究者及其供职的医疗机构、伦理委员会。申办者应将试验药物非预期的严重不良事件向药品监督管理部门和卫生行政部门报告，死亡和危及生命情况为7天，其他情况为15天。</w:t>
      </w:r>
    </w:p>
    <w:p>
      <w:pPr>
        <w:spacing w:line="560" w:lineRule="exact"/>
        <w:ind w:firstLine="640" w:firstLineChars="200"/>
        <w:rPr>
          <w:rFonts w:eastAsia="仿宋_GB2312"/>
          <w:sz w:val="22"/>
          <w:szCs w:val="22"/>
        </w:rPr>
      </w:pPr>
      <w:r>
        <w:rPr>
          <w:rFonts w:eastAsia="仿宋_GB2312"/>
          <w:sz w:val="22"/>
          <w:szCs w:val="22"/>
        </w:rPr>
        <w:t>（二）申办者应根据法规要求，向药品监督管理部门提交全部的、最新的试验药物安全信息和阶段性报告。</w:t>
      </w:r>
    </w:p>
    <w:p>
      <w:pPr>
        <w:spacing w:line="560" w:lineRule="exact"/>
        <w:ind w:firstLine="640" w:firstLineChars="200"/>
        <w:rPr>
          <w:rFonts w:eastAsia="仿宋_GB2312"/>
          <w:sz w:val="22"/>
          <w:szCs w:val="22"/>
        </w:rPr>
      </w:pPr>
      <w:bookmarkStart w:id="192" w:name="_Toc443990469"/>
      <w:bookmarkStart w:id="193" w:name="_Toc443995459"/>
      <w:bookmarkStart w:id="194" w:name="_Toc443995804"/>
      <w:bookmarkStart w:id="195" w:name="_Toc452726080"/>
      <w:bookmarkStart w:id="196" w:name="_Toc454451319"/>
      <w:r>
        <w:rPr>
          <w:rFonts w:ascii="黑体" w:hAnsi="黑体" w:eastAsia="黑体"/>
          <w:sz w:val="22"/>
          <w:szCs w:val="22"/>
        </w:rPr>
        <w:t>第四十八条</w:t>
      </w:r>
      <w:r>
        <w:rPr>
          <w:rFonts w:eastAsia="仿宋_GB2312"/>
          <w:sz w:val="22"/>
          <w:szCs w:val="22"/>
        </w:rPr>
        <w:t xml:space="preserve">  临床试验的监查</w:t>
      </w:r>
      <w:bookmarkEnd w:id="192"/>
      <w:bookmarkEnd w:id="193"/>
      <w:bookmarkEnd w:id="194"/>
      <w:bookmarkEnd w:id="195"/>
      <w:bookmarkEnd w:id="196"/>
    </w:p>
    <w:p>
      <w:pPr>
        <w:spacing w:line="560" w:lineRule="exact"/>
        <w:ind w:firstLine="640" w:firstLineChars="200"/>
        <w:rPr>
          <w:rFonts w:eastAsia="仿宋_GB2312"/>
          <w:sz w:val="22"/>
          <w:szCs w:val="22"/>
        </w:rPr>
      </w:pPr>
      <w:r>
        <w:rPr>
          <w:rFonts w:eastAsia="仿宋_GB2312"/>
          <w:sz w:val="22"/>
          <w:szCs w:val="22"/>
        </w:rPr>
        <w:t>（一）监查的目的是为了保证试验中受试者的权益，保证试验记录与报告的数据准确、完整，保证试验遵守已批准的方案和有关法规。</w:t>
      </w:r>
    </w:p>
    <w:p>
      <w:pPr>
        <w:spacing w:line="560" w:lineRule="exact"/>
        <w:ind w:firstLine="640" w:firstLineChars="200"/>
        <w:rPr>
          <w:rFonts w:eastAsia="仿宋_GB2312"/>
          <w:sz w:val="22"/>
          <w:szCs w:val="22"/>
        </w:rPr>
      </w:pPr>
      <w:r>
        <w:rPr>
          <w:rFonts w:eastAsia="仿宋_GB2312"/>
          <w:sz w:val="22"/>
          <w:szCs w:val="22"/>
        </w:rPr>
        <w:t>（二）申办者指派监查员。监查员应受过相应的培训，具备足够的临床试验监查需要的科学知识和临床知识；监查员</w:t>
      </w:r>
      <w:bookmarkStart w:id="197" w:name="OLE_LINK2"/>
      <w:r>
        <w:rPr>
          <w:rFonts w:eastAsia="仿宋_GB2312"/>
          <w:sz w:val="22"/>
          <w:szCs w:val="22"/>
        </w:rPr>
        <w:t>须有资质证明</w:t>
      </w:r>
      <w:bookmarkEnd w:id="197"/>
      <w:r>
        <w:rPr>
          <w:rFonts w:eastAsia="仿宋_GB2312"/>
          <w:sz w:val="22"/>
          <w:szCs w:val="22"/>
        </w:rPr>
        <w:t>。</w:t>
      </w:r>
    </w:p>
    <w:p>
      <w:pPr>
        <w:spacing w:line="560" w:lineRule="exact"/>
        <w:ind w:firstLine="640" w:firstLineChars="200"/>
        <w:rPr>
          <w:rFonts w:eastAsia="仿宋_GB2312"/>
          <w:sz w:val="22"/>
          <w:szCs w:val="22"/>
        </w:rPr>
      </w:pPr>
      <w:r>
        <w:rPr>
          <w:rFonts w:eastAsia="仿宋_GB2312"/>
          <w:sz w:val="22"/>
          <w:szCs w:val="22"/>
        </w:rPr>
        <w:t>（三）申办者制定监查计划。计划应特别强调保护受试者的权益，保证数据的真实性，保证应对临床试验中的各类风险。计划应描述监查的策略、对试验各方的监查职责、监查的方法，及应用不同监查方法的原因；监查计划应该强调对关键数据和流程的监查。监查计划应遵守相关政策和法规要求。</w:t>
      </w:r>
    </w:p>
    <w:p>
      <w:pPr>
        <w:spacing w:line="560" w:lineRule="exact"/>
        <w:ind w:firstLine="640" w:firstLineChars="200"/>
        <w:rPr>
          <w:rFonts w:eastAsia="仿宋_GB2312"/>
          <w:sz w:val="22"/>
          <w:szCs w:val="22"/>
        </w:rPr>
      </w:pPr>
      <w:r>
        <w:rPr>
          <w:rFonts w:eastAsia="仿宋_GB2312"/>
          <w:sz w:val="22"/>
          <w:szCs w:val="22"/>
        </w:rPr>
        <w:t>（四）申办者应制定监查SOP，监查员在监查工作中应执行SOP。</w:t>
      </w:r>
    </w:p>
    <w:p>
      <w:pPr>
        <w:spacing w:line="560" w:lineRule="exact"/>
        <w:ind w:firstLine="640" w:firstLineChars="200"/>
        <w:rPr>
          <w:rFonts w:eastAsia="仿宋_GB2312"/>
          <w:sz w:val="22"/>
          <w:szCs w:val="22"/>
        </w:rPr>
      </w:pPr>
      <w:r>
        <w:rPr>
          <w:rFonts w:eastAsia="仿宋_GB2312"/>
          <w:sz w:val="22"/>
          <w:szCs w:val="22"/>
        </w:rPr>
        <w:t>（五）申办者应确保实施临床试验的监查。监查的范围和性质取决于临床试验的目标、目的、设计、复杂性、盲法、样本大小和试验终点等。</w:t>
      </w:r>
    </w:p>
    <w:p>
      <w:pPr>
        <w:spacing w:line="560" w:lineRule="exact"/>
        <w:ind w:firstLine="640" w:firstLineChars="200"/>
        <w:rPr>
          <w:rFonts w:eastAsia="仿宋_GB2312"/>
          <w:sz w:val="22"/>
          <w:szCs w:val="22"/>
        </w:rPr>
      </w:pPr>
      <w:r>
        <w:rPr>
          <w:rFonts w:eastAsia="仿宋_GB2312"/>
          <w:sz w:val="22"/>
          <w:szCs w:val="22"/>
        </w:rPr>
        <w:t>（六）通常，监查应在试验开始前、试验进行中和试验结束后进行。</w:t>
      </w:r>
    </w:p>
    <w:p>
      <w:pPr>
        <w:spacing w:line="560" w:lineRule="exact"/>
        <w:ind w:firstLine="640" w:firstLineChars="200"/>
        <w:rPr>
          <w:rFonts w:eastAsia="仿宋_GB2312"/>
          <w:sz w:val="22"/>
          <w:szCs w:val="22"/>
        </w:rPr>
      </w:pPr>
      <w:r>
        <w:rPr>
          <w:rFonts w:eastAsia="仿宋_GB2312"/>
          <w:sz w:val="22"/>
          <w:szCs w:val="22"/>
        </w:rPr>
        <w:t>（七）特殊情况下，申办者可以将中心监查与其他的试验工作结合进行，如研究人员培训和会议。监查时，可采用统计学抽样调查的方法核对数据。</w:t>
      </w:r>
    </w:p>
    <w:p>
      <w:pPr>
        <w:spacing w:line="560" w:lineRule="exact"/>
        <w:ind w:firstLine="640" w:firstLineChars="200"/>
        <w:rPr>
          <w:rFonts w:eastAsia="仿宋_GB2312"/>
          <w:sz w:val="22"/>
          <w:szCs w:val="22"/>
        </w:rPr>
      </w:pPr>
      <w:r>
        <w:rPr>
          <w:rFonts w:eastAsia="仿宋_GB2312"/>
          <w:sz w:val="22"/>
          <w:szCs w:val="22"/>
        </w:rPr>
        <w:t>（八）申办者应建立系统的、有优先顺序的、基于风险评估的方法，对临床试验实施监查。监查的范围和性质可具有灵活性，允许采用不同的监查方法以提高监查的效率和有效性。申办者应记录选择监查策略的理由，或写在监查计划中。</w:t>
      </w:r>
    </w:p>
    <w:p>
      <w:pPr>
        <w:spacing w:line="560" w:lineRule="exact"/>
        <w:ind w:firstLine="640" w:firstLineChars="200"/>
        <w:rPr>
          <w:rFonts w:eastAsia="仿宋_GB2312"/>
          <w:sz w:val="22"/>
          <w:szCs w:val="22"/>
        </w:rPr>
      </w:pPr>
      <w:r>
        <w:rPr>
          <w:rFonts w:eastAsia="仿宋_GB2312"/>
          <w:sz w:val="22"/>
          <w:szCs w:val="22"/>
        </w:rPr>
        <w:t>（九）现场监查和中心化监查应基于临床试验的风险结合进行。现场监查是指在临床试验实施的医疗机构现场进行监查；中心化监查是指及时的对正在实施的临床试验进行远程评估，和/或汇总不同的医疗机构采集的数据进行远程评估。中心化监查的过程有助于提高临床试验的监查效果，是对现场监查的补充。</w:t>
      </w:r>
    </w:p>
    <w:p>
      <w:pPr>
        <w:spacing w:line="560" w:lineRule="exact"/>
        <w:ind w:firstLine="640" w:firstLineChars="200"/>
        <w:rPr>
          <w:rFonts w:eastAsia="仿宋_GB2312"/>
          <w:sz w:val="22"/>
          <w:szCs w:val="22"/>
        </w:rPr>
      </w:pPr>
      <w:r>
        <w:rPr>
          <w:rFonts w:eastAsia="仿宋_GB2312"/>
          <w:sz w:val="22"/>
          <w:szCs w:val="22"/>
        </w:rPr>
        <w:t>中心化监查中应用统计分析可确定数据的趋势，包括不同的临床试验医疗机构内部、和单位间的数据范围及一致性，并能分析各临床试验单位数据的特点和质量，有助于监查现场和监查方式的选择。</w:t>
      </w:r>
    </w:p>
    <w:p>
      <w:pPr>
        <w:spacing w:line="560" w:lineRule="exact"/>
        <w:ind w:firstLine="640" w:firstLineChars="200"/>
        <w:rPr>
          <w:rFonts w:eastAsia="仿宋_GB2312"/>
          <w:sz w:val="22"/>
          <w:szCs w:val="22"/>
        </w:rPr>
      </w:pPr>
      <w:bookmarkStart w:id="198" w:name="_Toc454451320"/>
      <w:bookmarkStart w:id="199" w:name="_Toc452726081"/>
      <w:r>
        <w:rPr>
          <w:rFonts w:ascii="黑体" w:hAnsi="黑体" w:eastAsia="黑体"/>
          <w:sz w:val="22"/>
          <w:szCs w:val="22"/>
        </w:rPr>
        <w:t>第四十九条</w:t>
      </w:r>
      <w:r>
        <w:rPr>
          <w:rFonts w:eastAsia="仿宋_GB2312"/>
          <w:sz w:val="22"/>
          <w:szCs w:val="22"/>
        </w:rPr>
        <w:t xml:space="preserve">  监查员的职责</w:t>
      </w:r>
      <w:bookmarkEnd w:id="198"/>
      <w:bookmarkEnd w:id="199"/>
    </w:p>
    <w:p>
      <w:pPr>
        <w:spacing w:line="560" w:lineRule="exact"/>
        <w:ind w:firstLine="640" w:firstLineChars="200"/>
        <w:rPr>
          <w:rFonts w:eastAsia="仿宋_GB2312"/>
          <w:sz w:val="22"/>
          <w:szCs w:val="22"/>
        </w:rPr>
      </w:pPr>
      <w:r>
        <w:rPr>
          <w:rFonts w:eastAsia="仿宋_GB2312"/>
          <w:sz w:val="22"/>
          <w:szCs w:val="22"/>
        </w:rPr>
        <w:t>（一）监查员应熟悉试验药物的相关知识，熟悉临床试验方案、知情同意书及其他提供给受试者的书面资料的内容，熟悉临床试验SOP和本规范等相关法规。</w:t>
      </w:r>
    </w:p>
    <w:p>
      <w:pPr>
        <w:spacing w:line="560" w:lineRule="exact"/>
        <w:ind w:firstLine="640" w:firstLineChars="200"/>
        <w:rPr>
          <w:rFonts w:eastAsia="仿宋_GB2312"/>
          <w:sz w:val="22"/>
          <w:szCs w:val="22"/>
        </w:rPr>
      </w:pPr>
      <w:r>
        <w:rPr>
          <w:rFonts w:eastAsia="仿宋_GB2312"/>
          <w:sz w:val="22"/>
          <w:szCs w:val="22"/>
        </w:rPr>
        <w:t>（二）监查员应按照申办者的要求，在临床试验中认真履行监查职责，确保各医疗机构能够正确地实施临床试验方案和记录临床试验数据。</w:t>
      </w:r>
    </w:p>
    <w:p>
      <w:pPr>
        <w:spacing w:line="560" w:lineRule="exact"/>
        <w:ind w:firstLine="640" w:firstLineChars="200"/>
        <w:rPr>
          <w:rFonts w:eastAsia="仿宋_GB2312"/>
          <w:sz w:val="22"/>
          <w:szCs w:val="22"/>
        </w:rPr>
      </w:pPr>
      <w:r>
        <w:rPr>
          <w:rFonts w:eastAsia="仿宋_GB2312"/>
          <w:sz w:val="22"/>
          <w:szCs w:val="22"/>
        </w:rPr>
        <w:t>（三）监查员是申办者和研究者之间的主要联系人。在试验前确认研究者具备足够的资质和资源来完成试验，医疗机构具备完成试验的适当条件，包括人员配备与培训情况，实验室设备齐全、运转良好，具备各种与试验有关的检查条件。</w:t>
      </w:r>
    </w:p>
    <w:p>
      <w:pPr>
        <w:spacing w:line="560" w:lineRule="exact"/>
        <w:ind w:firstLine="640" w:firstLineChars="200"/>
        <w:rPr>
          <w:rFonts w:eastAsia="仿宋_GB2312"/>
          <w:sz w:val="22"/>
          <w:szCs w:val="22"/>
        </w:rPr>
      </w:pPr>
      <w:r>
        <w:rPr>
          <w:rFonts w:eastAsia="仿宋_GB2312"/>
          <w:sz w:val="22"/>
          <w:szCs w:val="22"/>
        </w:rPr>
        <w:t>（四）监查员应核实整个试验过程中试验用药品的保存时间、保存条件可接受，供应充足；试验用药品是按照试验方案规定的剂量只提供给合格的受试者；受试者收到正确使用、处理、储存和归还试验用药品的说明；各试验医疗机构的试验用药品接收、使用和返还有适当的管控和记录；各试验医疗机构对未使用的试验用药品的处置，符合相关法规和申办者的要求。</w:t>
      </w:r>
    </w:p>
    <w:p>
      <w:pPr>
        <w:spacing w:line="560" w:lineRule="exact"/>
        <w:ind w:firstLine="640" w:firstLineChars="200"/>
        <w:rPr>
          <w:rFonts w:eastAsia="仿宋_GB2312"/>
          <w:sz w:val="22"/>
          <w:szCs w:val="22"/>
        </w:rPr>
      </w:pPr>
      <w:r>
        <w:rPr>
          <w:rFonts w:eastAsia="仿宋_GB2312"/>
          <w:sz w:val="22"/>
          <w:szCs w:val="22"/>
        </w:rPr>
        <w:t>（五）监查员了解研究者在临床试验过程中对试验方案的执行情况；确认在试验前所有受试者均签署了书面的知情同意书；确保研究者收到最新版的研究者手册、所有试验相关文件、试验必须用品，并按照法规的要求实施；保证研究者和所有参加试验的人员对试验有充分的了解。</w:t>
      </w:r>
    </w:p>
    <w:p>
      <w:pPr>
        <w:spacing w:line="560" w:lineRule="exact"/>
        <w:ind w:firstLine="640" w:firstLineChars="200"/>
        <w:rPr>
          <w:rFonts w:eastAsia="仿宋_GB2312"/>
          <w:sz w:val="22"/>
          <w:szCs w:val="22"/>
        </w:rPr>
      </w:pPr>
      <w:r>
        <w:rPr>
          <w:rFonts w:eastAsia="仿宋_GB2312"/>
          <w:sz w:val="22"/>
          <w:szCs w:val="22"/>
        </w:rPr>
        <w:t>（六）监查员核实研究者和所有参加试验的人员，履行试验方案和书面合同中规定的各自职责，未将这些职责委派给未经授权的人；了解受试者的入选率及试验的进展情况，确认入选的受试者合格并汇报入组率及试验的进展情况；确认所有数据的记录与报告正确完整，试验记录和文件实时更新、保存完好；核实研究者提供的所有医学报告、记录和文件都是准确的、完整的、及时的、清晰易读的、注明日期和试验编号的。</w:t>
      </w:r>
    </w:p>
    <w:p>
      <w:pPr>
        <w:spacing w:line="560" w:lineRule="exact"/>
        <w:ind w:firstLine="640" w:firstLineChars="200"/>
        <w:rPr>
          <w:rFonts w:eastAsia="仿宋_GB2312"/>
          <w:sz w:val="22"/>
          <w:szCs w:val="22"/>
        </w:rPr>
      </w:pPr>
      <w:r>
        <w:rPr>
          <w:rFonts w:eastAsia="仿宋_GB2312"/>
          <w:sz w:val="22"/>
          <w:szCs w:val="22"/>
        </w:rPr>
        <w:t>（七）监查员核对CRF录入的准确性和完整性，并与源文件比对。监查员应特别注意核对试验方案规定的数据在CRF上有准确记录，并与源文件一致；每一例受试者的剂量改变、治疗变更、不良事件、合并用药、间发疾病、失访、检查遗漏等均应确认并记录；应清楚如实记录研究者未能做到的随访、未进行的试验、未做的检查，以及是否对错误、遗漏做出纠正；核实入选受试者的退出与失访已在CRF中记录并说明。</w:t>
      </w:r>
    </w:p>
    <w:p>
      <w:pPr>
        <w:spacing w:line="560" w:lineRule="exact"/>
        <w:ind w:firstLine="640" w:firstLineChars="200"/>
        <w:rPr>
          <w:rFonts w:eastAsia="仿宋_GB2312"/>
          <w:sz w:val="22"/>
          <w:szCs w:val="22"/>
        </w:rPr>
      </w:pPr>
      <w:r>
        <w:rPr>
          <w:rFonts w:eastAsia="仿宋_GB2312"/>
          <w:sz w:val="22"/>
          <w:szCs w:val="22"/>
        </w:rPr>
        <w:t>（八）监查员对任何CRF的填写错误、遗漏或字迹不清楚应通知研究者；监查员应确保所作的更正、附加或删除是由研究者或研究者授权修正CRF的试验人员操作，并且修改人签名、注明日期和说明修改理由。该授权应有书面记录。</w:t>
      </w:r>
    </w:p>
    <w:p>
      <w:pPr>
        <w:spacing w:line="560" w:lineRule="exact"/>
        <w:ind w:firstLine="640" w:firstLineChars="200"/>
        <w:rPr>
          <w:rFonts w:eastAsia="仿宋_GB2312"/>
          <w:sz w:val="22"/>
          <w:szCs w:val="22"/>
        </w:rPr>
      </w:pPr>
      <w:r>
        <w:rPr>
          <w:rFonts w:eastAsia="仿宋_GB2312"/>
          <w:sz w:val="22"/>
          <w:szCs w:val="22"/>
        </w:rPr>
        <w:t>（九）监查员确定所有不良事件按照本规范、试验方案、伦理委员会、申办者和药品监督管理部门的要求，在规定的期限内进行了报告。</w:t>
      </w:r>
    </w:p>
    <w:p>
      <w:pPr>
        <w:spacing w:line="560" w:lineRule="exact"/>
        <w:ind w:firstLine="640" w:firstLineChars="200"/>
        <w:rPr>
          <w:rFonts w:eastAsia="仿宋_GB2312"/>
          <w:sz w:val="22"/>
          <w:szCs w:val="22"/>
        </w:rPr>
      </w:pPr>
      <w:r>
        <w:rPr>
          <w:rFonts w:eastAsia="仿宋_GB2312"/>
          <w:sz w:val="22"/>
          <w:szCs w:val="22"/>
        </w:rPr>
        <w:t>（十）监查员确定研究者是否按照本规范保存了必备文件。</w:t>
      </w:r>
    </w:p>
    <w:p>
      <w:pPr>
        <w:spacing w:line="560" w:lineRule="exact"/>
        <w:ind w:firstLine="640" w:firstLineChars="200"/>
        <w:rPr>
          <w:rFonts w:eastAsia="仿宋_GB2312"/>
          <w:sz w:val="22"/>
          <w:szCs w:val="22"/>
        </w:rPr>
      </w:pPr>
      <w:r>
        <w:rPr>
          <w:rFonts w:eastAsia="仿宋_GB2312"/>
          <w:sz w:val="22"/>
          <w:szCs w:val="22"/>
        </w:rPr>
        <w:t>（十一）监查员确定发生了偏离临床试验方案、SOP、GCP和相关法规要求的情况，应及时与研究者进行沟通，并采取适当措施防止偏离再次发生。</w:t>
      </w:r>
    </w:p>
    <w:p>
      <w:pPr>
        <w:spacing w:line="560" w:lineRule="exact"/>
        <w:ind w:firstLine="640" w:firstLineChars="200"/>
        <w:rPr>
          <w:rFonts w:eastAsia="仿宋_GB2312"/>
          <w:sz w:val="22"/>
          <w:szCs w:val="22"/>
        </w:rPr>
      </w:pPr>
      <w:r>
        <w:rPr>
          <w:rFonts w:eastAsia="仿宋_GB2312"/>
          <w:sz w:val="22"/>
          <w:szCs w:val="22"/>
        </w:rPr>
        <w:t>（十二）监查员在每次访视监查后，必须作书面报告递送申办者；报告应述明监查日期、地点、监查员姓名、监查员接触的研究者和其他人员的姓名、监查中发现的问题等；报告中应包括监查工作的摘要，发现临床试验中问题和事实陈述，与临床试验方案的偏离和缺陷，监查结论；并说明对在监查中发现的问题已采取的或拟采用的纠正措施，为确保试验遵守方案实施的建议；监查报告应该提供足够的细节，以便检验是否符合监查计划。</w:t>
      </w:r>
    </w:p>
    <w:p>
      <w:pPr>
        <w:spacing w:line="560" w:lineRule="exact"/>
        <w:ind w:firstLine="640" w:firstLineChars="200"/>
        <w:rPr>
          <w:rFonts w:eastAsia="仿宋_GB2312"/>
          <w:sz w:val="22"/>
          <w:szCs w:val="22"/>
        </w:rPr>
      </w:pPr>
      <w:r>
        <w:rPr>
          <w:rFonts w:eastAsia="仿宋_GB2312"/>
          <w:sz w:val="22"/>
          <w:szCs w:val="22"/>
        </w:rPr>
        <w:t>（十三）监查员应将监查结果及时提供给申办者，包括给临床试验相关的申办方管理层、该临床试验的负责人、项目监督管理人员。申办者应对监查报告中所谈及的问题进行审评和随访，并形成文件保存。</w:t>
      </w:r>
    </w:p>
    <w:p>
      <w:pPr>
        <w:spacing w:line="560" w:lineRule="exact"/>
        <w:ind w:firstLine="640" w:firstLineChars="200"/>
        <w:rPr>
          <w:rFonts w:eastAsia="仿宋_GB2312"/>
          <w:sz w:val="22"/>
          <w:szCs w:val="22"/>
        </w:rPr>
      </w:pPr>
      <w:bookmarkStart w:id="200" w:name="_Toc443995805"/>
      <w:bookmarkStart w:id="201" w:name="_Toc443995460"/>
      <w:bookmarkStart w:id="202" w:name="_Toc454451321"/>
      <w:bookmarkStart w:id="203" w:name="_Toc452726082"/>
      <w:r>
        <w:rPr>
          <w:rFonts w:ascii="黑体" w:hAnsi="黑体" w:eastAsia="黑体"/>
          <w:sz w:val="22"/>
          <w:szCs w:val="22"/>
        </w:rPr>
        <w:t>第五十条</w:t>
      </w:r>
      <w:r>
        <w:rPr>
          <w:rFonts w:eastAsia="仿宋_GB2312"/>
          <w:sz w:val="22"/>
          <w:szCs w:val="22"/>
        </w:rPr>
        <w:t xml:space="preserve">  临床试验的稽查</w:t>
      </w:r>
      <w:bookmarkEnd w:id="200"/>
      <w:bookmarkEnd w:id="201"/>
      <w:bookmarkEnd w:id="202"/>
      <w:bookmarkEnd w:id="203"/>
    </w:p>
    <w:p>
      <w:pPr>
        <w:spacing w:line="560" w:lineRule="exact"/>
        <w:ind w:firstLine="640" w:firstLineChars="200"/>
        <w:rPr>
          <w:rFonts w:eastAsia="仿宋_GB2312"/>
          <w:sz w:val="22"/>
          <w:szCs w:val="22"/>
        </w:rPr>
      </w:pPr>
      <w:r>
        <w:rPr>
          <w:rFonts w:eastAsia="仿宋_GB2312"/>
          <w:sz w:val="22"/>
          <w:szCs w:val="22"/>
        </w:rPr>
        <w:t>（一）申办者对于临床试验的稽查，是临床试验质量保证的一部分。申办者的稽查有别于临床试验的常规监查，也有别于申办者职能部门的常规质控管理。</w:t>
      </w:r>
    </w:p>
    <w:p>
      <w:pPr>
        <w:spacing w:line="560" w:lineRule="exact"/>
        <w:ind w:firstLine="640" w:firstLineChars="200"/>
        <w:rPr>
          <w:rFonts w:eastAsia="仿宋_GB2312"/>
          <w:sz w:val="22"/>
          <w:szCs w:val="22"/>
        </w:rPr>
      </w:pPr>
      <w:r>
        <w:rPr>
          <w:rFonts w:eastAsia="仿宋_GB2312"/>
          <w:sz w:val="22"/>
          <w:szCs w:val="22"/>
        </w:rPr>
        <w:t>（二）申办者稽查的目的是评估临床试验的实施情况，评估临床试验中执行试验方案、SOP、本规范和药品监督管理部门相关法律法规的依从性。</w:t>
      </w:r>
    </w:p>
    <w:p>
      <w:pPr>
        <w:spacing w:line="560" w:lineRule="exact"/>
        <w:ind w:firstLine="640" w:firstLineChars="200"/>
        <w:rPr>
          <w:rFonts w:eastAsia="仿宋_GB2312"/>
          <w:sz w:val="22"/>
          <w:szCs w:val="22"/>
        </w:rPr>
      </w:pPr>
      <w:r>
        <w:rPr>
          <w:rFonts w:eastAsia="仿宋_GB2312"/>
          <w:sz w:val="22"/>
          <w:szCs w:val="22"/>
        </w:rPr>
        <w:t>（三）申办者选定合格的稽查员，必须是独立于临床试验和试验相关体系之外的人员，不能是监查人员兼任。保证稽查人员经过相应的培训和具有稽查经验。稽查员的资质须有证明文件。</w:t>
      </w:r>
    </w:p>
    <w:p>
      <w:pPr>
        <w:spacing w:line="560" w:lineRule="exact"/>
        <w:ind w:firstLine="640" w:firstLineChars="200"/>
        <w:rPr>
          <w:rFonts w:eastAsia="仿宋_GB2312"/>
          <w:sz w:val="22"/>
          <w:szCs w:val="22"/>
        </w:rPr>
      </w:pPr>
      <w:r>
        <w:rPr>
          <w:rFonts w:eastAsia="仿宋_GB2312"/>
          <w:sz w:val="22"/>
          <w:szCs w:val="22"/>
        </w:rPr>
        <w:t>（四）申办者必须制定临床试验和试验质量管理体系的稽查流程，确保试验中稽查规程的实施。该规程中应拟定稽查目的、稽查方法、稽查次数、稽查形式和稽查报告的格式内容。稽查员在稽查过程中观察和发现的问题均应有书面记录。</w:t>
      </w:r>
    </w:p>
    <w:p>
      <w:pPr>
        <w:spacing w:line="560" w:lineRule="exact"/>
        <w:ind w:firstLine="640" w:firstLineChars="200"/>
        <w:rPr>
          <w:rFonts w:eastAsia="仿宋_GB2312"/>
          <w:sz w:val="22"/>
          <w:szCs w:val="22"/>
        </w:rPr>
      </w:pPr>
      <w:r>
        <w:rPr>
          <w:rFonts w:eastAsia="仿宋_GB2312"/>
          <w:sz w:val="22"/>
          <w:szCs w:val="22"/>
        </w:rPr>
        <w:t>（五）申办者制定稽查计划和规程，应依据向药品监督管理部门提交新药申请的资料内容、试验中受试者的例数、试验的类型和复杂程度、影响受试者的风险水平和其他已知的相关问题。</w:t>
      </w:r>
    </w:p>
    <w:p>
      <w:pPr>
        <w:spacing w:line="560" w:lineRule="exact"/>
        <w:ind w:firstLine="640" w:firstLineChars="200"/>
        <w:rPr>
          <w:rFonts w:eastAsia="仿宋_GB2312"/>
          <w:sz w:val="22"/>
          <w:szCs w:val="22"/>
        </w:rPr>
      </w:pPr>
      <w:r>
        <w:rPr>
          <w:rFonts w:eastAsia="仿宋_GB2312"/>
          <w:sz w:val="22"/>
          <w:szCs w:val="22"/>
        </w:rPr>
        <w:t>（六）为保证稽查职能的独立性和独特价值，药品监督管理部门不要求申办者提供常规稽查报告。但是，若发现临床试验过程中有严重违背本规范的证据，或在法律诉讼期间，药品监督管理部门可以要求申办者提供稽查报告。</w:t>
      </w:r>
    </w:p>
    <w:p>
      <w:pPr>
        <w:spacing w:line="560" w:lineRule="exact"/>
        <w:ind w:firstLine="640" w:firstLineChars="200"/>
        <w:rPr>
          <w:rFonts w:eastAsia="仿宋_GB2312"/>
          <w:sz w:val="22"/>
          <w:szCs w:val="22"/>
        </w:rPr>
      </w:pPr>
      <w:r>
        <w:rPr>
          <w:rFonts w:eastAsia="仿宋_GB2312"/>
          <w:sz w:val="22"/>
          <w:szCs w:val="22"/>
        </w:rPr>
        <w:t>（七）申办者应根据法律法规要求，提供稽查证明。</w:t>
      </w:r>
    </w:p>
    <w:p>
      <w:pPr>
        <w:spacing w:line="560" w:lineRule="exact"/>
        <w:ind w:firstLine="640" w:firstLineChars="200"/>
        <w:rPr>
          <w:rFonts w:eastAsia="仿宋_GB2312"/>
          <w:sz w:val="22"/>
          <w:szCs w:val="22"/>
        </w:rPr>
      </w:pPr>
      <w:bookmarkStart w:id="204" w:name="_Toc443995461"/>
      <w:bookmarkStart w:id="205" w:name="_Toc443995806"/>
      <w:bookmarkStart w:id="206" w:name="_Toc452726083"/>
      <w:bookmarkStart w:id="207" w:name="_Toc454451322"/>
      <w:r>
        <w:rPr>
          <w:rFonts w:ascii="黑体" w:hAnsi="黑体" w:eastAsia="黑体"/>
          <w:sz w:val="22"/>
          <w:szCs w:val="22"/>
        </w:rPr>
        <w:t>第五十一条</w:t>
      </w:r>
      <w:r>
        <w:rPr>
          <w:rFonts w:eastAsia="仿宋_GB2312"/>
          <w:sz w:val="22"/>
          <w:szCs w:val="22"/>
        </w:rPr>
        <w:t xml:space="preserve">  临床试验的依从</w:t>
      </w:r>
      <w:bookmarkEnd w:id="204"/>
      <w:bookmarkEnd w:id="205"/>
      <w:bookmarkEnd w:id="206"/>
      <w:r>
        <w:rPr>
          <w:rFonts w:eastAsia="仿宋_GB2312"/>
          <w:sz w:val="22"/>
          <w:szCs w:val="22"/>
        </w:rPr>
        <w:t>性</w:t>
      </w:r>
      <w:bookmarkEnd w:id="207"/>
    </w:p>
    <w:p>
      <w:pPr>
        <w:spacing w:line="560" w:lineRule="exact"/>
        <w:ind w:firstLine="640" w:firstLineChars="200"/>
        <w:rPr>
          <w:rFonts w:eastAsia="仿宋_GB2312"/>
          <w:sz w:val="22"/>
          <w:szCs w:val="22"/>
        </w:rPr>
      </w:pPr>
      <w:r>
        <w:rPr>
          <w:rFonts w:eastAsia="仿宋_GB2312"/>
          <w:sz w:val="22"/>
          <w:szCs w:val="22"/>
        </w:rPr>
        <w:t>发现研究者、医疗机构、申办者的人员在临床试验中不遵守试验方案、SOP、本规范、相关法律法规时，申办者应立即采取措施予以纠正，保证临床试验的良好依从性。</w:t>
      </w:r>
    </w:p>
    <w:p>
      <w:pPr>
        <w:spacing w:line="560" w:lineRule="exact"/>
        <w:ind w:firstLine="640" w:firstLineChars="200"/>
        <w:rPr>
          <w:rFonts w:eastAsia="仿宋_GB2312"/>
          <w:sz w:val="22"/>
          <w:szCs w:val="22"/>
        </w:rPr>
      </w:pPr>
      <w:r>
        <w:rPr>
          <w:rFonts w:eastAsia="仿宋_GB2312"/>
          <w:sz w:val="22"/>
          <w:szCs w:val="22"/>
        </w:rPr>
        <w:t>发现重要的不依从性问题时，申办者应及时寻找问题的根源，采取合适的纠正和预防措施。若违反试验方案或本规范的问题严重时，申办者可追究相关人员的责任，并根据相关法规要求报告药品监督管理部门。</w:t>
      </w:r>
    </w:p>
    <w:p>
      <w:pPr>
        <w:spacing w:line="560" w:lineRule="exact"/>
        <w:ind w:firstLine="640" w:firstLineChars="200"/>
        <w:rPr>
          <w:rFonts w:eastAsia="仿宋_GB2312"/>
          <w:sz w:val="22"/>
          <w:szCs w:val="22"/>
        </w:rPr>
      </w:pPr>
      <w:r>
        <w:rPr>
          <w:rFonts w:eastAsia="仿宋_GB2312"/>
          <w:sz w:val="22"/>
          <w:szCs w:val="22"/>
        </w:rPr>
        <w:t>临床试验监查、稽查时，发现研究者、医疗机构有严重的或劝阻不改的不依从性问题时，申办者应终止该研究者、医疗机构继续参加临床试验，并及时书面报告药品监督管理部门。</w:t>
      </w:r>
    </w:p>
    <w:p>
      <w:pPr>
        <w:spacing w:line="560" w:lineRule="exact"/>
        <w:ind w:firstLine="640" w:firstLineChars="200"/>
        <w:rPr>
          <w:rFonts w:eastAsia="仿宋_GB2312"/>
          <w:sz w:val="22"/>
          <w:szCs w:val="22"/>
        </w:rPr>
      </w:pPr>
      <w:bookmarkStart w:id="208" w:name="_Toc443995462"/>
      <w:bookmarkStart w:id="209" w:name="_Toc443995807"/>
      <w:bookmarkStart w:id="210" w:name="_Toc452726084"/>
      <w:bookmarkStart w:id="211" w:name="_Toc454451323"/>
      <w:r>
        <w:rPr>
          <w:rFonts w:ascii="黑体" w:hAnsi="黑体" w:eastAsia="黑体"/>
          <w:sz w:val="22"/>
          <w:szCs w:val="22"/>
        </w:rPr>
        <w:t>第五十二条</w:t>
      </w:r>
      <w:r>
        <w:rPr>
          <w:rFonts w:eastAsia="仿宋_GB2312"/>
          <w:sz w:val="22"/>
          <w:szCs w:val="22"/>
        </w:rPr>
        <w:t xml:space="preserve">  试验提前终止或暂停</w:t>
      </w:r>
      <w:bookmarkEnd w:id="208"/>
      <w:bookmarkEnd w:id="209"/>
      <w:bookmarkEnd w:id="210"/>
      <w:bookmarkEnd w:id="211"/>
    </w:p>
    <w:p>
      <w:pPr>
        <w:spacing w:line="560" w:lineRule="exact"/>
        <w:ind w:firstLine="640" w:firstLineChars="200"/>
        <w:rPr>
          <w:rFonts w:eastAsia="仿宋_GB2312"/>
          <w:sz w:val="22"/>
          <w:szCs w:val="22"/>
        </w:rPr>
      </w:pPr>
      <w:r>
        <w:rPr>
          <w:rFonts w:eastAsia="仿宋_GB2312"/>
          <w:sz w:val="22"/>
          <w:szCs w:val="22"/>
        </w:rPr>
        <w:t>试验提前终止或暂停，申办者应立即告知研究者及其供职的医疗机构、药品监督管理部门，并说明理由。同时，申办者或研究者也应告知伦理委员会，并说明理由。</w:t>
      </w:r>
    </w:p>
    <w:p>
      <w:pPr>
        <w:spacing w:line="560" w:lineRule="exact"/>
        <w:ind w:firstLine="640" w:firstLineChars="200"/>
        <w:rPr>
          <w:rFonts w:eastAsia="仿宋_GB2312"/>
          <w:sz w:val="22"/>
          <w:szCs w:val="22"/>
        </w:rPr>
      </w:pPr>
      <w:bookmarkStart w:id="212" w:name="_Toc443995463"/>
      <w:bookmarkStart w:id="213" w:name="_Toc443995808"/>
      <w:bookmarkStart w:id="214" w:name="_Toc452726085"/>
      <w:bookmarkStart w:id="215" w:name="_Toc454451324"/>
      <w:r>
        <w:rPr>
          <w:rFonts w:ascii="黑体" w:hAnsi="黑体" w:eastAsia="黑体"/>
          <w:sz w:val="22"/>
          <w:szCs w:val="22"/>
        </w:rPr>
        <w:t>第五十三条</w:t>
      </w:r>
      <w:r>
        <w:rPr>
          <w:rFonts w:eastAsia="仿宋_GB2312"/>
          <w:sz w:val="22"/>
          <w:szCs w:val="22"/>
        </w:rPr>
        <w:t xml:space="preserve">  试验报告</w:t>
      </w:r>
      <w:bookmarkEnd w:id="212"/>
      <w:bookmarkEnd w:id="213"/>
      <w:bookmarkEnd w:id="214"/>
      <w:bookmarkEnd w:id="215"/>
    </w:p>
    <w:p>
      <w:pPr>
        <w:spacing w:line="560" w:lineRule="exact"/>
        <w:ind w:firstLine="640" w:firstLineChars="200"/>
        <w:rPr>
          <w:rFonts w:eastAsia="仿宋_GB2312"/>
          <w:sz w:val="22"/>
          <w:szCs w:val="22"/>
        </w:rPr>
      </w:pPr>
      <w:r>
        <w:rPr>
          <w:rFonts w:eastAsia="仿宋_GB2312"/>
          <w:sz w:val="22"/>
          <w:szCs w:val="22"/>
        </w:rPr>
        <w:t>临床试验完成或提前终止，申办者必须按照法规要求向药品监督管理部门提交临床试验报告，报告应符合我国药品注册的指导原则。</w:t>
      </w:r>
    </w:p>
    <w:p>
      <w:pPr>
        <w:spacing w:line="560" w:lineRule="exact"/>
        <w:ind w:firstLine="640" w:firstLineChars="200"/>
        <w:rPr>
          <w:rFonts w:eastAsia="仿宋_GB2312"/>
          <w:sz w:val="22"/>
          <w:szCs w:val="22"/>
        </w:rPr>
      </w:pPr>
      <w:bookmarkStart w:id="216" w:name="_Toc443995464"/>
      <w:bookmarkStart w:id="217" w:name="_Toc443995809"/>
      <w:bookmarkStart w:id="218" w:name="_Toc452726086"/>
      <w:bookmarkStart w:id="219" w:name="_Toc454451325"/>
      <w:r>
        <w:rPr>
          <w:rFonts w:ascii="黑体" w:hAnsi="黑体" w:eastAsia="黑体"/>
          <w:sz w:val="22"/>
          <w:szCs w:val="22"/>
        </w:rPr>
        <w:t>第五十四条</w:t>
      </w:r>
      <w:r>
        <w:rPr>
          <w:rFonts w:eastAsia="仿宋_GB2312"/>
          <w:sz w:val="22"/>
          <w:szCs w:val="22"/>
        </w:rPr>
        <w:t xml:space="preserve">  多中心试验</w:t>
      </w:r>
      <w:bookmarkEnd w:id="216"/>
      <w:bookmarkEnd w:id="217"/>
      <w:bookmarkEnd w:id="218"/>
      <w:bookmarkEnd w:id="219"/>
    </w:p>
    <w:p>
      <w:pPr>
        <w:spacing w:line="560" w:lineRule="exact"/>
        <w:ind w:firstLine="640" w:firstLineChars="200"/>
        <w:rPr>
          <w:rFonts w:eastAsia="仿宋_GB2312"/>
          <w:sz w:val="22"/>
          <w:szCs w:val="22"/>
        </w:rPr>
      </w:pPr>
      <w:r>
        <w:rPr>
          <w:rFonts w:eastAsia="仿宋_GB2312"/>
          <w:sz w:val="22"/>
          <w:szCs w:val="22"/>
        </w:rPr>
        <w:t>（一）申办者应保证在多中心（多个医疗机构）临床试验中，与所有参加临床试验的研究者及其供职的医疗机构签署临床试验合同；确保参加临床试验的各中心均能遵守临床试验方案，该临床试验方案是申办者同意的、通过伦理委员会审查的、药品监督管理部门批准或备案的。</w:t>
      </w:r>
    </w:p>
    <w:p>
      <w:pPr>
        <w:spacing w:line="560" w:lineRule="exact"/>
        <w:ind w:firstLine="640" w:firstLineChars="200"/>
        <w:rPr>
          <w:rFonts w:eastAsia="仿宋_GB2312"/>
          <w:sz w:val="22"/>
          <w:szCs w:val="22"/>
        </w:rPr>
      </w:pPr>
      <w:r>
        <w:rPr>
          <w:rFonts w:eastAsia="仿宋_GB2312"/>
          <w:sz w:val="22"/>
          <w:szCs w:val="22"/>
        </w:rPr>
        <w:t>（二）申办者应向各中心提供相同的试验方案，遵守相同的临床和实验室数据的统一评价标准，和填写CRF的指导说明。</w:t>
      </w:r>
    </w:p>
    <w:p>
      <w:pPr>
        <w:spacing w:line="560" w:lineRule="exact"/>
        <w:ind w:firstLine="640" w:firstLineChars="200"/>
        <w:rPr>
          <w:rFonts w:eastAsia="仿宋_GB2312"/>
          <w:sz w:val="22"/>
          <w:szCs w:val="22"/>
        </w:rPr>
      </w:pPr>
      <w:r>
        <w:rPr>
          <w:rFonts w:eastAsia="仿宋_GB2312"/>
          <w:sz w:val="22"/>
          <w:szCs w:val="22"/>
        </w:rPr>
        <w:t>（三）各临床试验中心应使用相同的CRF，以记录在临床试验中各中心获得的试验数据。若研究者增加收集试验数据，在方案设计中应表明此内容，申办者向研究者提供附加的CRF。</w:t>
      </w:r>
    </w:p>
    <w:p>
      <w:pPr>
        <w:spacing w:line="560" w:lineRule="exact"/>
        <w:ind w:firstLine="640" w:firstLineChars="200"/>
        <w:rPr>
          <w:rFonts w:eastAsia="仿宋_GB2312"/>
          <w:sz w:val="22"/>
          <w:szCs w:val="22"/>
        </w:rPr>
      </w:pPr>
      <w:r>
        <w:rPr>
          <w:rFonts w:eastAsia="仿宋_GB2312"/>
          <w:sz w:val="22"/>
          <w:szCs w:val="22"/>
        </w:rPr>
        <w:t>（四）在试验开始前，应有书面文件明确参加试验的各研究者的职责。</w:t>
      </w:r>
    </w:p>
    <w:p>
      <w:pPr>
        <w:spacing w:line="560" w:lineRule="exact"/>
        <w:ind w:firstLine="640" w:firstLineChars="200"/>
        <w:rPr>
          <w:rFonts w:eastAsia="仿宋_GB2312"/>
          <w:sz w:val="22"/>
          <w:szCs w:val="22"/>
        </w:rPr>
      </w:pPr>
      <w:r>
        <w:rPr>
          <w:rFonts w:eastAsia="仿宋_GB2312"/>
          <w:sz w:val="22"/>
          <w:szCs w:val="22"/>
        </w:rPr>
        <w:t>（五）申办者应确保多中心研究者之间的沟通。</w:t>
      </w:r>
    </w:p>
    <w:p>
      <w:pPr>
        <w:adjustRightInd w:val="0"/>
        <w:snapToGrid w:val="0"/>
        <w:spacing w:line="560" w:lineRule="exact"/>
        <w:ind w:firstLine="640" w:firstLineChars="200"/>
        <w:rPr>
          <w:rFonts w:eastAsia="仿宋_GB2312"/>
          <w:sz w:val="22"/>
          <w:szCs w:val="22"/>
        </w:rPr>
      </w:pPr>
      <w:bookmarkStart w:id="220" w:name="_Toc454451326"/>
    </w:p>
    <w:p>
      <w:pPr>
        <w:adjustRightInd w:val="0"/>
        <w:snapToGrid w:val="0"/>
        <w:spacing w:line="560" w:lineRule="exact"/>
        <w:jc w:val="center"/>
        <w:rPr>
          <w:rFonts w:ascii="方正小标宋简体" w:eastAsia="方正小标宋简体"/>
          <w:sz w:val="22"/>
          <w:szCs w:val="22"/>
        </w:rPr>
      </w:pPr>
      <w:r>
        <w:rPr>
          <w:rFonts w:hint="eastAsia" w:ascii="方正小标宋简体" w:eastAsia="方正小标宋简体"/>
          <w:sz w:val="22"/>
          <w:szCs w:val="22"/>
        </w:rPr>
        <w:t>第五章  试验方案</w:t>
      </w:r>
      <w:bookmarkEnd w:id="74"/>
      <w:bookmarkEnd w:id="220"/>
    </w:p>
    <w:p>
      <w:pPr>
        <w:spacing w:line="560" w:lineRule="exact"/>
        <w:ind w:firstLine="640" w:firstLineChars="200"/>
        <w:rPr>
          <w:rFonts w:eastAsia="仿宋_GB2312"/>
          <w:sz w:val="22"/>
          <w:szCs w:val="22"/>
        </w:rPr>
      </w:pPr>
      <w:bookmarkStart w:id="221" w:name="_Toc441830728"/>
      <w:bookmarkStart w:id="222" w:name="_Toc443990477"/>
      <w:bookmarkStart w:id="223" w:name="_Toc443995467"/>
      <w:bookmarkStart w:id="224" w:name="_Toc443995811"/>
      <w:bookmarkStart w:id="225" w:name="_Toc452726088"/>
      <w:bookmarkStart w:id="226" w:name="_Toc454451327"/>
      <w:r>
        <w:rPr>
          <w:rFonts w:ascii="黑体" w:hAnsi="黑体" w:eastAsia="黑体"/>
          <w:sz w:val="22"/>
          <w:szCs w:val="22"/>
        </w:rPr>
        <w:t>第五十五条</w:t>
      </w:r>
      <w:r>
        <w:rPr>
          <w:rFonts w:eastAsia="仿宋_GB2312"/>
          <w:sz w:val="22"/>
          <w:szCs w:val="22"/>
        </w:rPr>
        <w:t xml:space="preserve">  试验方案中基本信息</w:t>
      </w:r>
      <w:bookmarkEnd w:id="221"/>
      <w:bookmarkEnd w:id="222"/>
      <w:bookmarkEnd w:id="223"/>
      <w:bookmarkEnd w:id="224"/>
      <w:bookmarkEnd w:id="225"/>
      <w:bookmarkEnd w:id="226"/>
    </w:p>
    <w:p>
      <w:pPr>
        <w:spacing w:line="560" w:lineRule="exact"/>
        <w:ind w:firstLine="640" w:firstLineChars="200"/>
        <w:rPr>
          <w:rFonts w:eastAsia="仿宋_GB2312"/>
          <w:sz w:val="22"/>
          <w:szCs w:val="22"/>
        </w:rPr>
      </w:pPr>
      <w:r>
        <w:rPr>
          <w:rFonts w:eastAsia="仿宋_GB2312"/>
          <w:sz w:val="22"/>
          <w:szCs w:val="22"/>
        </w:rPr>
        <w:t>（一）临床试验方案标题、编号和日期。方案的任何修改也应标明修改版本号和日期。</w:t>
      </w:r>
    </w:p>
    <w:p>
      <w:pPr>
        <w:spacing w:line="560" w:lineRule="exact"/>
        <w:ind w:firstLine="640" w:firstLineChars="200"/>
        <w:rPr>
          <w:rFonts w:eastAsia="仿宋_GB2312"/>
          <w:sz w:val="22"/>
          <w:szCs w:val="22"/>
        </w:rPr>
      </w:pPr>
      <w:r>
        <w:rPr>
          <w:rFonts w:eastAsia="仿宋_GB2312"/>
          <w:sz w:val="22"/>
          <w:szCs w:val="22"/>
        </w:rPr>
        <w:t>（二）申办者的名称和地址。</w:t>
      </w:r>
    </w:p>
    <w:p>
      <w:pPr>
        <w:spacing w:line="560" w:lineRule="exact"/>
        <w:ind w:firstLine="640" w:firstLineChars="200"/>
        <w:rPr>
          <w:rFonts w:eastAsia="仿宋_GB2312"/>
          <w:sz w:val="22"/>
          <w:szCs w:val="22"/>
        </w:rPr>
      </w:pPr>
      <w:r>
        <w:rPr>
          <w:rFonts w:eastAsia="仿宋_GB2312"/>
          <w:sz w:val="22"/>
          <w:szCs w:val="22"/>
        </w:rPr>
        <w:t>（三）申办者授权签署试验方案和方案修改人员的姓名、职务和单位。</w:t>
      </w:r>
    </w:p>
    <w:p>
      <w:pPr>
        <w:spacing w:line="560" w:lineRule="exact"/>
        <w:ind w:firstLine="640" w:firstLineChars="200"/>
        <w:rPr>
          <w:rFonts w:eastAsia="仿宋_GB2312"/>
          <w:sz w:val="22"/>
          <w:szCs w:val="22"/>
        </w:rPr>
      </w:pPr>
      <w:r>
        <w:rPr>
          <w:rFonts w:eastAsia="仿宋_GB2312"/>
          <w:sz w:val="22"/>
          <w:szCs w:val="22"/>
        </w:rPr>
        <w:t>（四）申办者的医学专家姓名、职务、供职单位地址和电话。</w:t>
      </w:r>
    </w:p>
    <w:p>
      <w:pPr>
        <w:spacing w:line="560" w:lineRule="exact"/>
        <w:ind w:firstLine="640" w:firstLineChars="200"/>
        <w:rPr>
          <w:rFonts w:eastAsia="仿宋_GB2312"/>
          <w:sz w:val="22"/>
          <w:szCs w:val="22"/>
        </w:rPr>
      </w:pPr>
      <w:r>
        <w:rPr>
          <w:rFonts w:eastAsia="仿宋_GB2312"/>
          <w:sz w:val="22"/>
          <w:szCs w:val="22"/>
        </w:rPr>
        <w:t>（五）承担临床试验的主要研究者姓名、职称/职务，及医疗机构的地址和电话。</w:t>
      </w:r>
    </w:p>
    <w:p>
      <w:pPr>
        <w:spacing w:line="560" w:lineRule="exact"/>
        <w:ind w:firstLine="640" w:firstLineChars="200"/>
        <w:rPr>
          <w:rFonts w:eastAsia="仿宋_GB2312"/>
          <w:sz w:val="22"/>
          <w:szCs w:val="22"/>
        </w:rPr>
      </w:pPr>
      <w:r>
        <w:rPr>
          <w:rFonts w:eastAsia="仿宋_GB2312"/>
          <w:sz w:val="22"/>
          <w:szCs w:val="22"/>
        </w:rPr>
        <w:t>（六）参与临床试验的实验室名称、地址，及其他医学、技术部门或研究机构的名称、地址。</w:t>
      </w:r>
    </w:p>
    <w:p>
      <w:pPr>
        <w:spacing w:line="560" w:lineRule="exact"/>
        <w:ind w:firstLine="640" w:firstLineChars="200"/>
        <w:rPr>
          <w:rFonts w:eastAsia="仿宋_GB2312"/>
          <w:sz w:val="22"/>
          <w:szCs w:val="22"/>
        </w:rPr>
      </w:pPr>
      <w:bookmarkStart w:id="227" w:name="_Toc441830729"/>
      <w:bookmarkStart w:id="228" w:name="_Toc443990478"/>
      <w:bookmarkStart w:id="229" w:name="_Toc443995468"/>
      <w:bookmarkStart w:id="230" w:name="_Toc443995812"/>
      <w:bookmarkStart w:id="231" w:name="_Toc452726089"/>
      <w:bookmarkStart w:id="232" w:name="_Toc454451328"/>
      <w:r>
        <w:rPr>
          <w:rFonts w:ascii="黑体" w:hAnsi="黑体" w:eastAsia="黑体"/>
          <w:sz w:val="22"/>
          <w:szCs w:val="22"/>
        </w:rPr>
        <w:t>第五十六条</w:t>
      </w:r>
      <w:r>
        <w:rPr>
          <w:rFonts w:eastAsia="仿宋_GB2312"/>
          <w:sz w:val="22"/>
          <w:szCs w:val="22"/>
        </w:rPr>
        <w:t xml:space="preserve">  研究背景资料</w:t>
      </w:r>
      <w:bookmarkEnd w:id="227"/>
      <w:bookmarkEnd w:id="228"/>
      <w:bookmarkEnd w:id="229"/>
      <w:bookmarkEnd w:id="230"/>
      <w:bookmarkEnd w:id="231"/>
      <w:bookmarkEnd w:id="232"/>
    </w:p>
    <w:p>
      <w:pPr>
        <w:spacing w:line="560" w:lineRule="exact"/>
        <w:ind w:firstLine="640" w:firstLineChars="200"/>
        <w:rPr>
          <w:rFonts w:eastAsia="仿宋_GB2312"/>
          <w:sz w:val="22"/>
          <w:szCs w:val="22"/>
        </w:rPr>
      </w:pPr>
      <w:r>
        <w:rPr>
          <w:rFonts w:eastAsia="仿宋_GB2312"/>
          <w:sz w:val="22"/>
          <w:szCs w:val="22"/>
        </w:rPr>
        <w:t>（一）试验用药品名称与介绍。</w:t>
      </w:r>
    </w:p>
    <w:p>
      <w:pPr>
        <w:spacing w:line="560" w:lineRule="exact"/>
        <w:ind w:firstLine="640" w:firstLineChars="200"/>
        <w:rPr>
          <w:rFonts w:eastAsia="仿宋_GB2312"/>
          <w:sz w:val="22"/>
          <w:szCs w:val="22"/>
        </w:rPr>
      </w:pPr>
      <w:r>
        <w:rPr>
          <w:rFonts w:eastAsia="仿宋_GB2312"/>
          <w:sz w:val="22"/>
          <w:szCs w:val="22"/>
        </w:rPr>
        <w:t>（二）阐明试验药物在非临床研究和临床研究中与试验相关的、潜在的临床意义的发现。</w:t>
      </w:r>
    </w:p>
    <w:p>
      <w:pPr>
        <w:spacing w:line="560" w:lineRule="exact"/>
        <w:ind w:firstLine="640" w:firstLineChars="200"/>
        <w:rPr>
          <w:rFonts w:eastAsia="仿宋_GB2312"/>
          <w:sz w:val="22"/>
          <w:szCs w:val="22"/>
        </w:rPr>
      </w:pPr>
      <w:r>
        <w:rPr>
          <w:rFonts w:eastAsia="仿宋_GB2312"/>
          <w:sz w:val="22"/>
          <w:szCs w:val="22"/>
        </w:rPr>
        <w:t>（三）阐明对受试人群的已知的、潜在的风险和获益。</w:t>
      </w:r>
    </w:p>
    <w:p>
      <w:pPr>
        <w:spacing w:line="560" w:lineRule="exact"/>
        <w:ind w:firstLine="640" w:firstLineChars="200"/>
        <w:rPr>
          <w:rFonts w:eastAsia="仿宋_GB2312"/>
          <w:sz w:val="22"/>
          <w:szCs w:val="22"/>
        </w:rPr>
      </w:pPr>
      <w:r>
        <w:rPr>
          <w:rFonts w:eastAsia="仿宋_GB2312"/>
          <w:sz w:val="22"/>
          <w:szCs w:val="22"/>
        </w:rPr>
        <w:t>（四）试验用药品的给药途径、给药剂量、给药方法及治疗时程的描述，并说明理由。</w:t>
      </w:r>
    </w:p>
    <w:p>
      <w:pPr>
        <w:spacing w:line="560" w:lineRule="exact"/>
        <w:ind w:firstLine="640" w:firstLineChars="200"/>
        <w:rPr>
          <w:rFonts w:eastAsia="仿宋_GB2312"/>
          <w:sz w:val="22"/>
          <w:szCs w:val="22"/>
        </w:rPr>
      </w:pPr>
      <w:r>
        <w:rPr>
          <w:rFonts w:eastAsia="仿宋_GB2312"/>
          <w:sz w:val="22"/>
          <w:szCs w:val="22"/>
        </w:rPr>
        <w:t>（五）强调临床试验需要按照试验方案、本规范及相关法律法规进行。</w:t>
      </w:r>
    </w:p>
    <w:p>
      <w:pPr>
        <w:spacing w:line="560" w:lineRule="exact"/>
        <w:ind w:firstLine="640" w:firstLineChars="200"/>
        <w:rPr>
          <w:rFonts w:eastAsia="仿宋_GB2312"/>
          <w:sz w:val="22"/>
          <w:szCs w:val="22"/>
        </w:rPr>
      </w:pPr>
      <w:r>
        <w:rPr>
          <w:rFonts w:eastAsia="仿宋_GB2312"/>
          <w:sz w:val="22"/>
          <w:szCs w:val="22"/>
        </w:rPr>
        <w:t>（六）描述试验的目标人群。</w:t>
      </w:r>
    </w:p>
    <w:p>
      <w:pPr>
        <w:spacing w:line="560" w:lineRule="exact"/>
        <w:ind w:firstLine="640" w:firstLineChars="200"/>
        <w:rPr>
          <w:rFonts w:eastAsia="仿宋_GB2312"/>
          <w:sz w:val="22"/>
          <w:szCs w:val="22"/>
        </w:rPr>
      </w:pPr>
      <w:r>
        <w:rPr>
          <w:rFonts w:eastAsia="仿宋_GB2312"/>
          <w:sz w:val="22"/>
          <w:szCs w:val="22"/>
        </w:rPr>
        <w:t>（七）注明临床试验相关的研究背景资料、参考文献和数据来源。</w:t>
      </w:r>
    </w:p>
    <w:p>
      <w:pPr>
        <w:spacing w:line="560" w:lineRule="exact"/>
        <w:ind w:firstLine="640" w:firstLineChars="200"/>
        <w:rPr>
          <w:rFonts w:eastAsia="仿宋_GB2312"/>
          <w:sz w:val="22"/>
          <w:szCs w:val="22"/>
        </w:rPr>
      </w:pPr>
      <w:bookmarkStart w:id="233" w:name="_Toc441830730"/>
      <w:bookmarkStart w:id="234" w:name="_Toc443990479"/>
      <w:bookmarkStart w:id="235" w:name="_Toc443995469"/>
      <w:bookmarkStart w:id="236" w:name="_Toc443995813"/>
      <w:bookmarkStart w:id="237" w:name="_Toc452726090"/>
      <w:bookmarkStart w:id="238" w:name="_Toc454451329"/>
      <w:r>
        <w:rPr>
          <w:rFonts w:ascii="黑体" w:hAnsi="黑体" w:eastAsia="黑体"/>
          <w:sz w:val="22"/>
          <w:szCs w:val="22"/>
        </w:rPr>
        <w:t>第五十七条</w:t>
      </w:r>
      <w:r>
        <w:rPr>
          <w:rFonts w:eastAsia="仿宋_GB2312"/>
          <w:sz w:val="22"/>
          <w:szCs w:val="22"/>
        </w:rPr>
        <w:t xml:space="preserve">  试验目的</w:t>
      </w:r>
      <w:bookmarkEnd w:id="233"/>
      <w:bookmarkEnd w:id="234"/>
      <w:bookmarkEnd w:id="235"/>
      <w:bookmarkEnd w:id="236"/>
      <w:bookmarkEnd w:id="237"/>
      <w:bookmarkEnd w:id="238"/>
    </w:p>
    <w:p>
      <w:pPr>
        <w:spacing w:line="560" w:lineRule="exact"/>
        <w:ind w:firstLine="640" w:firstLineChars="200"/>
        <w:rPr>
          <w:rFonts w:eastAsia="仿宋_GB2312"/>
          <w:sz w:val="22"/>
          <w:szCs w:val="22"/>
        </w:rPr>
      </w:pPr>
      <w:r>
        <w:rPr>
          <w:rFonts w:eastAsia="仿宋_GB2312"/>
          <w:sz w:val="22"/>
          <w:szCs w:val="22"/>
        </w:rPr>
        <w:t>详细描述试验目的。</w:t>
      </w:r>
    </w:p>
    <w:p>
      <w:pPr>
        <w:spacing w:line="560" w:lineRule="exact"/>
        <w:ind w:firstLine="640" w:firstLineChars="200"/>
        <w:rPr>
          <w:rFonts w:eastAsia="仿宋_GB2312"/>
          <w:sz w:val="22"/>
          <w:szCs w:val="22"/>
        </w:rPr>
      </w:pPr>
      <w:bookmarkStart w:id="239" w:name="_Toc441830731"/>
      <w:bookmarkStart w:id="240" w:name="_Toc443990480"/>
      <w:bookmarkStart w:id="241" w:name="_Toc443995470"/>
      <w:bookmarkStart w:id="242" w:name="_Toc443995814"/>
      <w:bookmarkStart w:id="243" w:name="_Toc452726091"/>
      <w:bookmarkStart w:id="244" w:name="_Toc454451330"/>
      <w:r>
        <w:rPr>
          <w:rFonts w:ascii="黑体" w:hAnsi="黑体" w:eastAsia="黑体"/>
          <w:sz w:val="22"/>
          <w:szCs w:val="22"/>
        </w:rPr>
        <w:t>第五十八条</w:t>
      </w:r>
      <w:r>
        <w:rPr>
          <w:rFonts w:eastAsia="仿宋_GB2312"/>
          <w:sz w:val="22"/>
          <w:szCs w:val="22"/>
        </w:rPr>
        <w:t xml:space="preserve">  试验设计</w:t>
      </w:r>
      <w:bookmarkEnd w:id="239"/>
      <w:bookmarkEnd w:id="240"/>
      <w:bookmarkEnd w:id="241"/>
      <w:bookmarkEnd w:id="242"/>
      <w:bookmarkEnd w:id="243"/>
      <w:bookmarkEnd w:id="244"/>
    </w:p>
    <w:p>
      <w:pPr>
        <w:spacing w:line="560" w:lineRule="exact"/>
        <w:ind w:firstLine="640" w:firstLineChars="200"/>
        <w:rPr>
          <w:rFonts w:eastAsia="仿宋_GB2312"/>
          <w:sz w:val="22"/>
          <w:szCs w:val="22"/>
        </w:rPr>
      </w:pPr>
      <w:r>
        <w:rPr>
          <w:rFonts w:eastAsia="仿宋_GB2312"/>
          <w:sz w:val="22"/>
          <w:szCs w:val="22"/>
        </w:rPr>
        <w:t>临床试验的科学性和试验数据的可靠性，主要取决于试验设计。试验方案设计应包括以下内容。</w:t>
      </w:r>
    </w:p>
    <w:p>
      <w:pPr>
        <w:spacing w:line="560" w:lineRule="exact"/>
        <w:ind w:firstLine="640" w:firstLineChars="200"/>
        <w:rPr>
          <w:rFonts w:eastAsia="仿宋_GB2312"/>
          <w:sz w:val="22"/>
          <w:szCs w:val="22"/>
        </w:rPr>
      </w:pPr>
      <w:r>
        <w:rPr>
          <w:rFonts w:eastAsia="仿宋_GB2312"/>
          <w:sz w:val="22"/>
          <w:szCs w:val="22"/>
        </w:rPr>
        <w:t>（一）明确临床试验的主要终点和次要终点（如有）。</w:t>
      </w:r>
    </w:p>
    <w:p>
      <w:pPr>
        <w:spacing w:line="560" w:lineRule="exact"/>
        <w:ind w:firstLine="640" w:firstLineChars="200"/>
        <w:rPr>
          <w:rFonts w:eastAsia="仿宋_GB2312"/>
          <w:sz w:val="22"/>
          <w:szCs w:val="22"/>
        </w:rPr>
      </w:pPr>
      <w:r>
        <w:rPr>
          <w:rFonts w:eastAsia="仿宋_GB2312"/>
          <w:sz w:val="22"/>
          <w:szCs w:val="22"/>
        </w:rPr>
        <w:t>（二）阐明对照组选择的理由和试验设计的描述（如双盲、安慰剂对照、平行组设计），并对研究设计、流程和不同阶段以流程图形式表示。</w:t>
      </w:r>
    </w:p>
    <w:p>
      <w:pPr>
        <w:spacing w:line="560" w:lineRule="exact"/>
        <w:ind w:firstLine="640" w:firstLineChars="200"/>
        <w:rPr>
          <w:rFonts w:eastAsia="仿宋_GB2312"/>
          <w:sz w:val="22"/>
          <w:szCs w:val="22"/>
        </w:rPr>
      </w:pPr>
      <w:bookmarkStart w:id="245" w:name="OLE_LINK21"/>
      <w:bookmarkStart w:id="246" w:name="OLE_LINK22"/>
      <w:r>
        <w:rPr>
          <w:rFonts w:eastAsia="仿宋_GB2312"/>
          <w:sz w:val="22"/>
          <w:szCs w:val="22"/>
        </w:rPr>
        <w:t>（三）描述减少或控制偏倚所采取的措施，即随机化方法和过程，双盲实现的方法和过程，盲底保存和紧急揭盲的程序。如采用单盲或开放性试验需阐明理由和控制偏倚的措施。</w:t>
      </w:r>
      <w:bookmarkEnd w:id="245"/>
      <w:bookmarkEnd w:id="246"/>
    </w:p>
    <w:p>
      <w:pPr>
        <w:spacing w:line="560" w:lineRule="exact"/>
        <w:ind w:firstLine="640" w:firstLineChars="200"/>
        <w:rPr>
          <w:rFonts w:eastAsia="仿宋_GB2312"/>
          <w:sz w:val="22"/>
          <w:szCs w:val="22"/>
        </w:rPr>
      </w:pPr>
      <w:r>
        <w:rPr>
          <w:rFonts w:eastAsia="仿宋_GB2312"/>
          <w:sz w:val="22"/>
          <w:szCs w:val="22"/>
        </w:rPr>
        <w:t>（四）试验中治疗方法，试验用药品的剂量、给药方案。还需包含试验用药品的剂型、包装、标签的说明。</w:t>
      </w:r>
    </w:p>
    <w:p>
      <w:pPr>
        <w:spacing w:line="560" w:lineRule="exact"/>
        <w:ind w:firstLine="640" w:firstLineChars="200"/>
        <w:rPr>
          <w:rFonts w:eastAsia="仿宋_GB2312"/>
          <w:sz w:val="22"/>
          <w:szCs w:val="22"/>
        </w:rPr>
      </w:pPr>
      <w:r>
        <w:rPr>
          <w:rFonts w:eastAsia="仿宋_GB2312"/>
          <w:sz w:val="22"/>
          <w:szCs w:val="22"/>
        </w:rPr>
        <w:t>（五）受试者参与试验的预期时长和所有试验的具体安排，包括随访等（如有）。</w:t>
      </w:r>
    </w:p>
    <w:p>
      <w:pPr>
        <w:spacing w:line="560" w:lineRule="exact"/>
        <w:ind w:firstLine="640" w:firstLineChars="200"/>
        <w:rPr>
          <w:rFonts w:eastAsia="仿宋_GB2312"/>
          <w:sz w:val="22"/>
          <w:szCs w:val="22"/>
        </w:rPr>
      </w:pPr>
      <w:r>
        <w:rPr>
          <w:rFonts w:eastAsia="仿宋_GB2312"/>
          <w:sz w:val="22"/>
          <w:szCs w:val="22"/>
        </w:rPr>
        <w:t>（六）描述受试者、部分临床试验及全部临床试验“暂停试验标准”“终止试验标准”。</w:t>
      </w:r>
    </w:p>
    <w:p>
      <w:pPr>
        <w:spacing w:line="560" w:lineRule="exact"/>
        <w:ind w:firstLine="640" w:firstLineChars="200"/>
        <w:rPr>
          <w:rFonts w:eastAsia="仿宋_GB2312"/>
          <w:sz w:val="22"/>
          <w:szCs w:val="22"/>
        </w:rPr>
      </w:pPr>
      <w:r>
        <w:rPr>
          <w:rFonts w:eastAsia="仿宋_GB2312"/>
          <w:sz w:val="22"/>
          <w:szCs w:val="22"/>
        </w:rPr>
        <w:t>（七）试验用药品管理流程，包括安慰剂、对照药品等。</w:t>
      </w:r>
    </w:p>
    <w:p>
      <w:pPr>
        <w:spacing w:line="560" w:lineRule="exact"/>
        <w:ind w:firstLine="640" w:firstLineChars="200"/>
        <w:rPr>
          <w:rFonts w:eastAsia="仿宋_GB2312"/>
          <w:sz w:val="22"/>
          <w:szCs w:val="22"/>
        </w:rPr>
      </w:pPr>
      <w:r>
        <w:rPr>
          <w:rFonts w:eastAsia="仿宋_GB2312"/>
          <w:sz w:val="22"/>
          <w:szCs w:val="22"/>
        </w:rPr>
        <w:t>（八）明确说明试验中何种数据可作为源数据直接记录在CRF上。</w:t>
      </w:r>
    </w:p>
    <w:p>
      <w:pPr>
        <w:spacing w:line="560" w:lineRule="exact"/>
        <w:ind w:firstLine="640" w:firstLineChars="200"/>
        <w:rPr>
          <w:rFonts w:eastAsia="仿宋_GB2312"/>
          <w:sz w:val="22"/>
          <w:szCs w:val="22"/>
        </w:rPr>
      </w:pPr>
      <w:bookmarkStart w:id="247" w:name="_Toc452726092"/>
      <w:bookmarkStart w:id="248" w:name="_Toc454451331"/>
      <w:bookmarkStart w:id="249" w:name="_Toc441830732"/>
      <w:bookmarkStart w:id="250" w:name="_Toc443990481"/>
      <w:bookmarkStart w:id="251" w:name="_Toc443995471"/>
      <w:bookmarkStart w:id="252" w:name="_Toc443995815"/>
      <w:r>
        <w:rPr>
          <w:rFonts w:ascii="黑体" w:hAnsi="黑体" w:eastAsia="黑体"/>
          <w:sz w:val="22"/>
          <w:szCs w:val="22"/>
        </w:rPr>
        <w:t>第五十九条</w:t>
      </w:r>
      <w:r>
        <w:rPr>
          <w:rFonts w:eastAsia="仿宋_GB2312"/>
          <w:sz w:val="22"/>
          <w:szCs w:val="22"/>
        </w:rPr>
        <w:t xml:space="preserve">  临床和实验室检查的项目内容，检查检测使用的方法、仪器和质控要求。</w:t>
      </w:r>
      <w:bookmarkEnd w:id="247"/>
      <w:bookmarkEnd w:id="248"/>
    </w:p>
    <w:p>
      <w:pPr>
        <w:spacing w:line="560" w:lineRule="exact"/>
        <w:ind w:firstLine="640" w:firstLineChars="200"/>
        <w:rPr>
          <w:rFonts w:eastAsia="仿宋_GB2312"/>
          <w:sz w:val="22"/>
          <w:szCs w:val="22"/>
        </w:rPr>
      </w:pPr>
      <w:bookmarkStart w:id="253" w:name="_Toc454451332"/>
      <w:bookmarkStart w:id="254" w:name="_Toc452726093"/>
      <w:r>
        <w:rPr>
          <w:rFonts w:ascii="黑体" w:hAnsi="黑体" w:eastAsia="黑体"/>
          <w:sz w:val="22"/>
          <w:szCs w:val="22"/>
        </w:rPr>
        <w:t>第六十条</w:t>
      </w:r>
      <w:r>
        <w:rPr>
          <w:rFonts w:eastAsia="仿宋_GB2312"/>
          <w:sz w:val="22"/>
          <w:szCs w:val="22"/>
        </w:rPr>
        <w:t xml:space="preserve">  受试者的选择和退出</w:t>
      </w:r>
      <w:bookmarkEnd w:id="249"/>
      <w:bookmarkEnd w:id="250"/>
      <w:bookmarkEnd w:id="251"/>
      <w:bookmarkEnd w:id="252"/>
      <w:bookmarkEnd w:id="253"/>
      <w:bookmarkEnd w:id="254"/>
    </w:p>
    <w:p>
      <w:pPr>
        <w:spacing w:line="560" w:lineRule="exact"/>
        <w:ind w:firstLine="640" w:firstLineChars="200"/>
        <w:rPr>
          <w:rFonts w:eastAsia="仿宋_GB2312"/>
          <w:sz w:val="22"/>
          <w:szCs w:val="22"/>
        </w:rPr>
      </w:pPr>
      <w:r>
        <w:rPr>
          <w:rFonts w:eastAsia="仿宋_GB2312"/>
          <w:sz w:val="22"/>
          <w:szCs w:val="22"/>
        </w:rPr>
        <w:t>（一）受试者的入选标准。</w:t>
      </w:r>
    </w:p>
    <w:p>
      <w:pPr>
        <w:spacing w:line="560" w:lineRule="exact"/>
        <w:ind w:firstLine="640" w:firstLineChars="200"/>
        <w:rPr>
          <w:rFonts w:eastAsia="仿宋_GB2312"/>
          <w:sz w:val="22"/>
          <w:szCs w:val="22"/>
        </w:rPr>
      </w:pPr>
      <w:r>
        <w:rPr>
          <w:rFonts w:eastAsia="仿宋_GB2312"/>
          <w:sz w:val="22"/>
          <w:szCs w:val="22"/>
        </w:rPr>
        <w:t>（二）受试者的排除标准。</w:t>
      </w:r>
    </w:p>
    <w:p>
      <w:pPr>
        <w:spacing w:line="560" w:lineRule="exact"/>
        <w:ind w:firstLine="640" w:firstLineChars="200"/>
        <w:rPr>
          <w:rFonts w:eastAsia="仿宋_GB2312"/>
          <w:sz w:val="22"/>
          <w:szCs w:val="22"/>
        </w:rPr>
      </w:pPr>
      <w:r>
        <w:rPr>
          <w:rFonts w:eastAsia="仿宋_GB2312"/>
          <w:sz w:val="22"/>
          <w:szCs w:val="22"/>
        </w:rPr>
        <w:t>（三）明确受试者退出试验的标准，包括停用试验用药品、终止临床试验。</w:t>
      </w:r>
    </w:p>
    <w:p>
      <w:pPr>
        <w:spacing w:line="560" w:lineRule="exact"/>
        <w:ind w:firstLine="640" w:firstLineChars="200"/>
        <w:rPr>
          <w:rFonts w:eastAsia="仿宋_GB2312"/>
          <w:sz w:val="22"/>
          <w:szCs w:val="22"/>
        </w:rPr>
      </w:pPr>
      <w:r>
        <w:rPr>
          <w:rFonts w:eastAsia="仿宋_GB2312"/>
          <w:sz w:val="22"/>
          <w:szCs w:val="22"/>
        </w:rPr>
        <w:t>规定退出试验受试者的数据采集内容和时限、退出受试者的替换和随访。</w:t>
      </w:r>
    </w:p>
    <w:p>
      <w:pPr>
        <w:spacing w:line="560" w:lineRule="exact"/>
        <w:ind w:firstLine="640" w:firstLineChars="200"/>
        <w:rPr>
          <w:rFonts w:eastAsia="仿宋_GB2312"/>
          <w:sz w:val="22"/>
          <w:szCs w:val="22"/>
        </w:rPr>
      </w:pPr>
      <w:bookmarkStart w:id="255" w:name="_Toc441830733"/>
      <w:bookmarkStart w:id="256" w:name="_Toc443990482"/>
      <w:bookmarkStart w:id="257" w:name="_Toc443995472"/>
      <w:bookmarkStart w:id="258" w:name="_Toc443995816"/>
      <w:bookmarkStart w:id="259" w:name="_Toc452726094"/>
      <w:bookmarkStart w:id="260" w:name="_Toc454451333"/>
      <w:r>
        <w:rPr>
          <w:rFonts w:ascii="黑体" w:hAnsi="黑体" w:eastAsia="黑体"/>
          <w:sz w:val="22"/>
          <w:szCs w:val="22"/>
        </w:rPr>
        <w:t>第六十一条</w:t>
      </w:r>
      <w:r>
        <w:rPr>
          <w:rFonts w:eastAsia="仿宋_GB2312"/>
          <w:sz w:val="22"/>
          <w:szCs w:val="22"/>
        </w:rPr>
        <w:t xml:space="preserve">  受试者的治疗</w:t>
      </w:r>
      <w:bookmarkEnd w:id="255"/>
      <w:bookmarkEnd w:id="256"/>
      <w:bookmarkEnd w:id="257"/>
      <w:bookmarkEnd w:id="258"/>
      <w:bookmarkEnd w:id="259"/>
      <w:bookmarkEnd w:id="260"/>
    </w:p>
    <w:p>
      <w:pPr>
        <w:spacing w:line="560" w:lineRule="exact"/>
        <w:ind w:firstLine="640" w:firstLineChars="200"/>
        <w:rPr>
          <w:rFonts w:eastAsia="仿宋_GB2312"/>
          <w:sz w:val="22"/>
          <w:szCs w:val="22"/>
        </w:rPr>
      </w:pPr>
      <w:r>
        <w:rPr>
          <w:rFonts w:eastAsia="仿宋_GB2312"/>
          <w:sz w:val="22"/>
          <w:szCs w:val="22"/>
        </w:rPr>
        <w:t>（一）写明受试者在试验各组包括亚组应用的所有药物名称、给药剂量、给药方案、给药途径和药物治疗时程，包括随访期应用的所有药物。</w:t>
      </w:r>
    </w:p>
    <w:p>
      <w:pPr>
        <w:spacing w:line="560" w:lineRule="exact"/>
        <w:ind w:firstLine="640" w:firstLineChars="200"/>
        <w:rPr>
          <w:rFonts w:eastAsia="仿宋_GB2312"/>
          <w:sz w:val="22"/>
          <w:szCs w:val="22"/>
        </w:rPr>
      </w:pPr>
      <w:r>
        <w:rPr>
          <w:rFonts w:eastAsia="仿宋_GB2312"/>
          <w:sz w:val="22"/>
          <w:szCs w:val="22"/>
        </w:rPr>
        <w:t>（二）写明临床试验前和临床试验中允许的合并用药（包括急救治疗用药）或治疗，和禁止使用的药物或治疗。</w:t>
      </w:r>
    </w:p>
    <w:p>
      <w:pPr>
        <w:spacing w:line="560" w:lineRule="exact"/>
        <w:ind w:firstLine="640" w:firstLineChars="200"/>
        <w:rPr>
          <w:rFonts w:eastAsia="仿宋_GB2312"/>
          <w:sz w:val="22"/>
          <w:szCs w:val="22"/>
        </w:rPr>
      </w:pPr>
      <w:r>
        <w:rPr>
          <w:rFonts w:eastAsia="仿宋_GB2312"/>
          <w:sz w:val="22"/>
          <w:szCs w:val="22"/>
        </w:rPr>
        <w:t>（三）制定监查受试者依从性的程序。</w:t>
      </w:r>
    </w:p>
    <w:p>
      <w:pPr>
        <w:spacing w:line="560" w:lineRule="exact"/>
        <w:ind w:firstLine="640" w:firstLineChars="200"/>
        <w:rPr>
          <w:rFonts w:eastAsia="仿宋_GB2312"/>
          <w:sz w:val="22"/>
          <w:szCs w:val="22"/>
        </w:rPr>
      </w:pPr>
      <w:bookmarkStart w:id="261" w:name="_Toc452726095"/>
      <w:bookmarkStart w:id="262" w:name="_Toc454451334"/>
      <w:bookmarkStart w:id="263" w:name="_Toc441830734"/>
      <w:bookmarkStart w:id="264" w:name="_Toc443990483"/>
      <w:bookmarkStart w:id="265" w:name="_Toc443995473"/>
      <w:bookmarkStart w:id="266" w:name="_Toc443995817"/>
      <w:r>
        <w:rPr>
          <w:rFonts w:ascii="黑体" w:hAnsi="黑体" w:eastAsia="黑体"/>
          <w:sz w:val="22"/>
          <w:szCs w:val="22"/>
        </w:rPr>
        <w:t>第六十二条</w:t>
      </w:r>
      <w:r>
        <w:rPr>
          <w:rFonts w:eastAsia="仿宋_GB2312"/>
          <w:sz w:val="22"/>
          <w:szCs w:val="22"/>
        </w:rPr>
        <w:t xml:space="preserve">  制定明确的访视和随访计划，包括临床试验期间、试验终点、不良事件评估及试验结束后的随访和医疗措施。</w:t>
      </w:r>
      <w:bookmarkEnd w:id="261"/>
      <w:bookmarkEnd w:id="262"/>
    </w:p>
    <w:p>
      <w:pPr>
        <w:spacing w:line="560" w:lineRule="exact"/>
        <w:ind w:firstLine="640" w:firstLineChars="200"/>
        <w:rPr>
          <w:rFonts w:eastAsia="仿宋_GB2312"/>
          <w:sz w:val="22"/>
          <w:szCs w:val="22"/>
        </w:rPr>
      </w:pPr>
      <w:bookmarkStart w:id="267" w:name="_Toc452726096"/>
      <w:bookmarkStart w:id="268" w:name="_Toc454451335"/>
      <w:r>
        <w:rPr>
          <w:rFonts w:ascii="黑体" w:hAnsi="黑体" w:eastAsia="黑体"/>
          <w:sz w:val="22"/>
          <w:szCs w:val="22"/>
        </w:rPr>
        <w:t>第六十三条</w:t>
      </w:r>
      <w:r>
        <w:rPr>
          <w:rFonts w:eastAsia="仿宋_GB2312"/>
          <w:sz w:val="22"/>
          <w:szCs w:val="22"/>
        </w:rPr>
        <w:t xml:space="preserve">  有效性评价</w:t>
      </w:r>
      <w:bookmarkEnd w:id="263"/>
      <w:bookmarkEnd w:id="264"/>
      <w:bookmarkEnd w:id="265"/>
      <w:bookmarkEnd w:id="266"/>
      <w:bookmarkEnd w:id="267"/>
      <w:bookmarkEnd w:id="268"/>
    </w:p>
    <w:p>
      <w:pPr>
        <w:spacing w:line="560" w:lineRule="exact"/>
        <w:ind w:firstLine="640" w:firstLineChars="200"/>
        <w:rPr>
          <w:rFonts w:eastAsia="仿宋_GB2312"/>
          <w:sz w:val="22"/>
          <w:szCs w:val="22"/>
        </w:rPr>
      </w:pPr>
      <w:r>
        <w:rPr>
          <w:rFonts w:eastAsia="仿宋_GB2312"/>
          <w:sz w:val="22"/>
          <w:szCs w:val="22"/>
        </w:rPr>
        <w:t>（一）详细描述临床试验的有效性指标。</w:t>
      </w:r>
    </w:p>
    <w:p>
      <w:pPr>
        <w:spacing w:line="560" w:lineRule="exact"/>
        <w:ind w:firstLine="640" w:firstLineChars="200"/>
        <w:rPr>
          <w:rFonts w:eastAsia="仿宋_GB2312"/>
          <w:sz w:val="22"/>
          <w:szCs w:val="22"/>
        </w:rPr>
      </w:pPr>
      <w:r>
        <w:rPr>
          <w:rFonts w:eastAsia="仿宋_GB2312"/>
          <w:sz w:val="22"/>
          <w:szCs w:val="22"/>
        </w:rPr>
        <w:t>（二）详细描述有效性指标的评价、记录、分析方法和时点。</w:t>
      </w:r>
    </w:p>
    <w:p>
      <w:pPr>
        <w:spacing w:line="560" w:lineRule="exact"/>
        <w:ind w:firstLine="640" w:firstLineChars="200"/>
        <w:rPr>
          <w:rFonts w:eastAsia="仿宋_GB2312"/>
          <w:sz w:val="22"/>
          <w:szCs w:val="22"/>
        </w:rPr>
      </w:pPr>
      <w:bookmarkStart w:id="269" w:name="_Toc441830735"/>
      <w:bookmarkStart w:id="270" w:name="_Toc443990484"/>
      <w:bookmarkStart w:id="271" w:name="_Toc443995474"/>
      <w:bookmarkStart w:id="272" w:name="_Toc443995818"/>
      <w:bookmarkStart w:id="273" w:name="_Toc452726097"/>
      <w:bookmarkStart w:id="274" w:name="_Toc454451336"/>
      <w:r>
        <w:rPr>
          <w:rFonts w:ascii="黑体" w:hAnsi="黑体" w:eastAsia="黑体"/>
          <w:sz w:val="22"/>
          <w:szCs w:val="22"/>
        </w:rPr>
        <w:t>第六十四条</w:t>
      </w:r>
      <w:r>
        <w:rPr>
          <w:rFonts w:eastAsia="仿宋_GB2312"/>
          <w:sz w:val="22"/>
          <w:szCs w:val="22"/>
        </w:rPr>
        <w:t xml:space="preserve">  安全性评价</w:t>
      </w:r>
      <w:bookmarkEnd w:id="269"/>
      <w:bookmarkEnd w:id="270"/>
      <w:bookmarkEnd w:id="271"/>
      <w:bookmarkEnd w:id="272"/>
      <w:bookmarkEnd w:id="273"/>
      <w:bookmarkEnd w:id="274"/>
    </w:p>
    <w:p>
      <w:pPr>
        <w:spacing w:line="560" w:lineRule="exact"/>
        <w:ind w:firstLine="640" w:firstLineChars="200"/>
        <w:rPr>
          <w:rFonts w:eastAsia="仿宋_GB2312"/>
          <w:sz w:val="22"/>
          <w:szCs w:val="22"/>
        </w:rPr>
      </w:pPr>
      <w:r>
        <w:rPr>
          <w:rFonts w:eastAsia="仿宋_GB2312"/>
          <w:sz w:val="22"/>
          <w:szCs w:val="22"/>
        </w:rPr>
        <w:t>（一）详细描述临床试验的安全性指标。</w:t>
      </w:r>
    </w:p>
    <w:p>
      <w:pPr>
        <w:spacing w:line="560" w:lineRule="exact"/>
        <w:ind w:firstLine="640" w:firstLineChars="200"/>
        <w:rPr>
          <w:rFonts w:eastAsia="仿宋_GB2312"/>
          <w:sz w:val="22"/>
          <w:szCs w:val="22"/>
        </w:rPr>
      </w:pPr>
      <w:r>
        <w:rPr>
          <w:rFonts w:eastAsia="仿宋_GB2312"/>
          <w:sz w:val="22"/>
          <w:szCs w:val="22"/>
        </w:rPr>
        <w:t>（二）详细描述安全性指标的评价、记录、分析方法和时点。</w:t>
      </w:r>
    </w:p>
    <w:p>
      <w:pPr>
        <w:spacing w:line="560" w:lineRule="exact"/>
        <w:ind w:firstLine="640" w:firstLineChars="200"/>
        <w:rPr>
          <w:rFonts w:eastAsia="仿宋_GB2312"/>
          <w:sz w:val="22"/>
          <w:szCs w:val="22"/>
        </w:rPr>
      </w:pPr>
      <w:r>
        <w:rPr>
          <w:rFonts w:eastAsia="仿宋_GB2312"/>
          <w:sz w:val="22"/>
          <w:szCs w:val="22"/>
        </w:rPr>
        <w:t>（三）制定不良事件和伴随疾病的记录和报告程序。</w:t>
      </w:r>
    </w:p>
    <w:p>
      <w:pPr>
        <w:spacing w:line="560" w:lineRule="exact"/>
        <w:ind w:firstLine="640" w:firstLineChars="200"/>
        <w:rPr>
          <w:rFonts w:eastAsia="仿宋_GB2312"/>
          <w:sz w:val="22"/>
          <w:szCs w:val="22"/>
        </w:rPr>
      </w:pPr>
      <w:r>
        <w:rPr>
          <w:rFonts w:eastAsia="仿宋_GB2312"/>
          <w:sz w:val="22"/>
          <w:szCs w:val="22"/>
        </w:rPr>
        <w:t>（四）规定不良事件的随访方式和时间。</w:t>
      </w:r>
    </w:p>
    <w:p>
      <w:pPr>
        <w:spacing w:line="560" w:lineRule="exact"/>
        <w:ind w:firstLine="640" w:firstLineChars="200"/>
        <w:rPr>
          <w:rFonts w:eastAsia="仿宋_GB2312"/>
          <w:sz w:val="22"/>
          <w:szCs w:val="22"/>
        </w:rPr>
      </w:pPr>
      <w:bookmarkStart w:id="275" w:name="_Toc441830736"/>
      <w:bookmarkStart w:id="276" w:name="_Toc443990485"/>
      <w:bookmarkStart w:id="277" w:name="_Toc443995475"/>
      <w:bookmarkStart w:id="278" w:name="_Toc443995819"/>
      <w:bookmarkStart w:id="279" w:name="_Toc452726098"/>
      <w:bookmarkStart w:id="280" w:name="_Toc454451337"/>
      <w:r>
        <w:rPr>
          <w:rFonts w:ascii="黑体" w:hAnsi="黑体" w:eastAsia="黑体"/>
          <w:sz w:val="22"/>
          <w:szCs w:val="22"/>
        </w:rPr>
        <w:t>第六十五条</w:t>
      </w:r>
      <w:r>
        <w:rPr>
          <w:rFonts w:eastAsia="仿宋_GB2312"/>
          <w:sz w:val="22"/>
          <w:szCs w:val="22"/>
        </w:rPr>
        <w:t xml:space="preserve">  统计</w:t>
      </w:r>
      <w:bookmarkEnd w:id="275"/>
      <w:bookmarkEnd w:id="276"/>
      <w:bookmarkEnd w:id="277"/>
      <w:bookmarkEnd w:id="278"/>
      <w:bookmarkEnd w:id="279"/>
      <w:bookmarkEnd w:id="280"/>
    </w:p>
    <w:p>
      <w:pPr>
        <w:spacing w:line="560" w:lineRule="exact"/>
        <w:ind w:firstLine="640" w:firstLineChars="200"/>
        <w:rPr>
          <w:rFonts w:eastAsia="仿宋_GB2312"/>
          <w:sz w:val="22"/>
          <w:szCs w:val="22"/>
        </w:rPr>
      </w:pPr>
      <w:r>
        <w:rPr>
          <w:rFonts w:eastAsia="仿宋_GB2312"/>
          <w:sz w:val="22"/>
          <w:szCs w:val="22"/>
        </w:rPr>
        <w:t>（一）确定受试者样本量，并根据前期试验或文献数据阐明理由。</w:t>
      </w:r>
    </w:p>
    <w:p>
      <w:pPr>
        <w:spacing w:line="560" w:lineRule="exact"/>
        <w:ind w:firstLine="640" w:firstLineChars="200"/>
        <w:rPr>
          <w:rFonts w:eastAsia="仿宋_GB2312"/>
          <w:sz w:val="22"/>
          <w:szCs w:val="22"/>
        </w:rPr>
      </w:pPr>
      <w:r>
        <w:rPr>
          <w:rFonts w:eastAsia="仿宋_GB2312"/>
          <w:sz w:val="22"/>
          <w:szCs w:val="22"/>
        </w:rPr>
        <w:t>（二）统计检验水准，及调整考虑（如有）。</w:t>
      </w:r>
    </w:p>
    <w:p>
      <w:pPr>
        <w:spacing w:line="560" w:lineRule="exact"/>
        <w:ind w:firstLine="640" w:firstLineChars="200"/>
        <w:rPr>
          <w:rFonts w:eastAsia="仿宋_GB2312"/>
          <w:sz w:val="22"/>
          <w:szCs w:val="22"/>
        </w:rPr>
      </w:pPr>
      <w:r>
        <w:rPr>
          <w:rFonts w:eastAsia="仿宋_GB2312"/>
          <w:sz w:val="22"/>
          <w:szCs w:val="22"/>
        </w:rPr>
        <w:t>（三）阐明主要评价指标进行统计分析时的统计假设，包括原假设和备择假设，简述拟采用的具体统计方法和统计分析软件。若需进行期中分析应说明理由、分析时点及操作规程。</w:t>
      </w:r>
    </w:p>
    <w:p>
      <w:pPr>
        <w:spacing w:line="560" w:lineRule="exact"/>
        <w:ind w:firstLine="640" w:firstLineChars="200"/>
        <w:rPr>
          <w:rFonts w:eastAsia="仿宋_GB2312"/>
          <w:sz w:val="22"/>
          <w:szCs w:val="22"/>
        </w:rPr>
      </w:pPr>
      <w:r>
        <w:rPr>
          <w:rFonts w:eastAsia="仿宋_GB2312"/>
          <w:sz w:val="22"/>
          <w:szCs w:val="22"/>
        </w:rPr>
        <w:t>（四）缺失数据、未用数据和不合逻辑数据的处理方法。</w:t>
      </w:r>
    </w:p>
    <w:p>
      <w:pPr>
        <w:spacing w:line="560" w:lineRule="exact"/>
        <w:ind w:firstLine="640" w:firstLineChars="200"/>
        <w:rPr>
          <w:rFonts w:eastAsia="仿宋_GB2312"/>
          <w:sz w:val="22"/>
          <w:szCs w:val="22"/>
        </w:rPr>
      </w:pPr>
      <w:r>
        <w:rPr>
          <w:rFonts w:eastAsia="仿宋_GB2312"/>
          <w:sz w:val="22"/>
          <w:szCs w:val="22"/>
        </w:rPr>
        <w:t>（五）明确如有偏离原定统计分析计划的修改程序。</w:t>
      </w:r>
    </w:p>
    <w:p>
      <w:pPr>
        <w:spacing w:line="560" w:lineRule="exact"/>
        <w:ind w:firstLine="640" w:firstLineChars="200"/>
        <w:rPr>
          <w:rFonts w:eastAsia="仿宋_GB2312"/>
          <w:sz w:val="22"/>
          <w:szCs w:val="22"/>
        </w:rPr>
      </w:pPr>
      <w:r>
        <w:rPr>
          <w:rFonts w:eastAsia="仿宋_GB2312"/>
          <w:sz w:val="22"/>
          <w:szCs w:val="22"/>
        </w:rPr>
        <w:t>（六）明确定义用于统计分析的受试者数据集，包括所有参加随机化的受试者、所有服用过试验用药品的受试者、所有符合入选的受试者和可用于临床试验结果评价的受试者。</w:t>
      </w:r>
    </w:p>
    <w:p>
      <w:pPr>
        <w:spacing w:line="560" w:lineRule="exact"/>
        <w:ind w:firstLine="640" w:firstLineChars="200"/>
        <w:rPr>
          <w:rFonts w:eastAsia="仿宋_GB2312"/>
          <w:sz w:val="22"/>
          <w:szCs w:val="22"/>
        </w:rPr>
      </w:pPr>
      <w:bookmarkStart w:id="281" w:name="_Toc441830737"/>
      <w:bookmarkStart w:id="282" w:name="_Toc443990486"/>
      <w:bookmarkStart w:id="283" w:name="_Toc443995476"/>
      <w:bookmarkStart w:id="284" w:name="_Toc443995820"/>
      <w:bookmarkStart w:id="285" w:name="_Toc452726099"/>
      <w:bookmarkStart w:id="286" w:name="_Toc454451338"/>
      <w:r>
        <w:rPr>
          <w:rFonts w:ascii="黑体" w:hAnsi="黑体" w:eastAsia="黑体"/>
          <w:sz w:val="22"/>
          <w:szCs w:val="22"/>
        </w:rPr>
        <w:t>第六十六条</w:t>
      </w:r>
      <w:r>
        <w:rPr>
          <w:rFonts w:eastAsia="仿宋_GB2312"/>
          <w:sz w:val="22"/>
          <w:szCs w:val="22"/>
        </w:rPr>
        <w:t xml:space="preserve">  源数据/源文件的</w:t>
      </w:r>
      <w:bookmarkEnd w:id="281"/>
      <w:bookmarkEnd w:id="282"/>
      <w:bookmarkEnd w:id="283"/>
      <w:bookmarkEnd w:id="284"/>
      <w:bookmarkEnd w:id="285"/>
      <w:r>
        <w:rPr>
          <w:rFonts w:eastAsia="仿宋_GB2312"/>
          <w:sz w:val="22"/>
          <w:szCs w:val="22"/>
        </w:rPr>
        <w:t>直接</w:t>
      </w:r>
      <w:bookmarkEnd w:id="286"/>
      <w:r>
        <w:rPr>
          <w:rFonts w:eastAsia="仿宋_GB2312"/>
          <w:sz w:val="22"/>
          <w:szCs w:val="22"/>
        </w:rPr>
        <w:t>查阅</w:t>
      </w:r>
    </w:p>
    <w:p>
      <w:pPr>
        <w:spacing w:line="560" w:lineRule="exact"/>
        <w:ind w:firstLine="640" w:firstLineChars="200"/>
        <w:rPr>
          <w:rFonts w:eastAsia="仿宋_GB2312"/>
          <w:sz w:val="22"/>
          <w:szCs w:val="22"/>
        </w:rPr>
      </w:pPr>
      <w:r>
        <w:rPr>
          <w:rFonts w:eastAsia="仿宋_GB2312"/>
          <w:sz w:val="22"/>
          <w:szCs w:val="22"/>
        </w:rPr>
        <w:t>申办者必须在合同或临床试验方案中明确，研究者及其供职的医疗机构许可申办方对临床试验进行监查或稽查；卫生行政和药品监督管理部门有权对临床试验进行检查，可以直接查阅源数据/源文件。</w:t>
      </w:r>
    </w:p>
    <w:p>
      <w:pPr>
        <w:spacing w:line="560" w:lineRule="exact"/>
        <w:ind w:firstLine="640" w:firstLineChars="200"/>
        <w:rPr>
          <w:rFonts w:eastAsia="仿宋_GB2312"/>
          <w:sz w:val="22"/>
          <w:szCs w:val="22"/>
        </w:rPr>
      </w:pPr>
      <w:bookmarkStart w:id="287" w:name="_Toc441830738"/>
      <w:bookmarkStart w:id="288" w:name="_Toc443990487"/>
      <w:bookmarkStart w:id="289" w:name="_Toc443995477"/>
      <w:bookmarkStart w:id="290" w:name="_Toc443995821"/>
      <w:bookmarkStart w:id="291" w:name="_Toc452726100"/>
      <w:bookmarkStart w:id="292" w:name="_Toc454451339"/>
      <w:r>
        <w:rPr>
          <w:rFonts w:ascii="黑体" w:hAnsi="黑体" w:eastAsia="黑体"/>
          <w:sz w:val="22"/>
          <w:szCs w:val="22"/>
        </w:rPr>
        <w:t>第六十七条</w:t>
      </w:r>
      <w:r>
        <w:rPr>
          <w:rFonts w:eastAsia="仿宋_GB2312"/>
          <w:sz w:val="22"/>
          <w:szCs w:val="22"/>
        </w:rPr>
        <w:t xml:space="preserve">  质量控制和质量保证</w:t>
      </w:r>
      <w:bookmarkEnd w:id="287"/>
      <w:bookmarkEnd w:id="288"/>
      <w:bookmarkEnd w:id="289"/>
      <w:bookmarkEnd w:id="290"/>
      <w:bookmarkEnd w:id="291"/>
      <w:bookmarkEnd w:id="292"/>
    </w:p>
    <w:p>
      <w:pPr>
        <w:spacing w:line="560" w:lineRule="exact"/>
        <w:ind w:firstLine="640" w:firstLineChars="200"/>
        <w:rPr>
          <w:rFonts w:eastAsia="仿宋_GB2312"/>
          <w:sz w:val="22"/>
          <w:szCs w:val="22"/>
        </w:rPr>
      </w:pPr>
      <w:r>
        <w:rPr>
          <w:rFonts w:eastAsia="仿宋_GB2312"/>
          <w:sz w:val="22"/>
          <w:szCs w:val="22"/>
        </w:rPr>
        <w:t>申办者与研究者在方案中应明确实施临床试验质量控制和质量保证的具体措施。</w:t>
      </w:r>
    </w:p>
    <w:p>
      <w:pPr>
        <w:spacing w:line="560" w:lineRule="exact"/>
        <w:ind w:firstLine="640" w:firstLineChars="200"/>
        <w:rPr>
          <w:rFonts w:eastAsia="仿宋_GB2312"/>
          <w:sz w:val="22"/>
          <w:szCs w:val="22"/>
        </w:rPr>
      </w:pPr>
      <w:bookmarkStart w:id="293" w:name="_Toc441830739"/>
      <w:bookmarkStart w:id="294" w:name="_Toc443990488"/>
      <w:bookmarkStart w:id="295" w:name="_Toc443995478"/>
      <w:bookmarkStart w:id="296" w:name="_Toc443995822"/>
      <w:bookmarkStart w:id="297" w:name="_Toc452726101"/>
      <w:bookmarkStart w:id="298" w:name="_Toc454451340"/>
      <w:r>
        <w:rPr>
          <w:rFonts w:ascii="黑体" w:hAnsi="黑体" w:eastAsia="黑体"/>
          <w:sz w:val="22"/>
          <w:szCs w:val="22"/>
        </w:rPr>
        <w:t>第六十八条</w:t>
      </w:r>
      <w:r>
        <w:rPr>
          <w:rFonts w:eastAsia="仿宋_GB2312"/>
          <w:sz w:val="22"/>
          <w:szCs w:val="22"/>
        </w:rPr>
        <w:t xml:space="preserve">  伦理学</w:t>
      </w:r>
      <w:bookmarkEnd w:id="293"/>
      <w:bookmarkEnd w:id="294"/>
      <w:bookmarkEnd w:id="295"/>
      <w:bookmarkEnd w:id="296"/>
      <w:bookmarkEnd w:id="297"/>
      <w:bookmarkEnd w:id="298"/>
    </w:p>
    <w:p>
      <w:pPr>
        <w:spacing w:line="560" w:lineRule="exact"/>
        <w:ind w:firstLine="640" w:firstLineChars="200"/>
        <w:rPr>
          <w:rFonts w:eastAsia="仿宋_GB2312"/>
          <w:sz w:val="22"/>
          <w:szCs w:val="22"/>
        </w:rPr>
      </w:pPr>
      <w:r>
        <w:rPr>
          <w:rFonts w:eastAsia="仿宋_GB2312"/>
          <w:sz w:val="22"/>
          <w:szCs w:val="22"/>
        </w:rPr>
        <w:t>描述与该试验相关的伦理学问题的考虑。</w:t>
      </w:r>
    </w:p>
    <w:p>
      <w:pPr>
        <w:spacing w:line="560" w:lineRule="exact"/>
        <w:ind w:firstLine="640" w:firstLineChars="200"/>
        <w:rPr>
          <w:rFonts w:eastAsia="仿宋_GB2312"/>
          <w:sz w:val="22"/>
          <w:szCs w:val="22"/>
        </w:rPr>
      </w:pPr>
      <w:bookmarkStart w:id="299" w:name="_Toc441830740"/>
      <w:bookmarkStart w:id="300" w:name="_Toc443990489"/>
      <w:bookmarkStart w:id="301" w:name="_Toc443995479"/>
      <w:bookmarkStart w:id="302" w:name="_Toc443995823"/>
      <w:bookmarkStart w:id="303" w:name="_Toc452726102"/>
      <w:bookmarkStart w:id="304" w:name="_Toc454451341"/>
      <w:r>
        <w:rPr>
          <w:rFonts w:ascii="黑体" w:hAnsi="黑体" w:eastAsia="黑体"/>
          <w:sz w:val="22"/>
          <w:szCs w:val="22"/>
        </w:rPr>
        <w:t>第六十九条</w:t>
      </w:r>
      <w:r>
        <w:rPr>
          <w:rFonts w:eastAsia="仿宋_GB2312"/>
          <w:sz w:val="22"/>
          <w:szCs w:val="22"/>
        </w:rPr>
        <w:t xml:space="preserve">  数据管理和记录保存</w:t>
      </w:r>
      <w:bookmarkEnd w:id="299"/>
      <w:bookmarkEnd w:id="300"/>
      <w:bookmarkEnd w:id="301"/>
      <w:bookmarkEnd w:id="302"/>
      <w:bookmarkEnd w:id="303"/>
      <w:bookmarkEnd w:id="304"/>
    </w:p>
    <w:p>
      <w:pPr>
        <w:spacing w:line="560" w:lineRule="exact"/>
        <w:ind w:firstLine="640" w:firstLineChars="200"/>
        <w:rPr>
          <w:rFonts w:eastAsia="仿宋_GB2312"/>
          <w:sz w:val="22"/>
          <w:szCs w:val="22"/>
        </w:rPr>
      </w:pPr>
      <w:r>
        <w:rPr>
          <w:rFonts w:eastAsia="仿宋_GB2312"/>
          <w:sz w:val="22"/>
          <w:szCs w:val="22"/>
        </w:rPr>
        <w:t>详细描述临床试验数据的采集与管理流程、数据管理与采集所使用的系统、数据管理各步骤及任务，以及数据管理的质量保障措施。</w:t>
      </w:r>
    </w:p>
    <w:p>
      <w:pPr>
        <w:spacing w:line="560" w:lineRule="exact"/>
        <w:ind w:firstLine="640" w:firstLineChars="200"/>
        <w:rPr>
          <w:rFonts w:eastAsia="仿宋_GB2312"/>
          <w:sz w:val="22"/>
          <w:szCs w:val="22"/>
        </w:rPr>
      </w:pPr>
      <w:bookmarkStart w:id="305" w:name="_Toc441830741"/>
      <w:bookmarkStart w:id="306" w:name="_Toc443990490"/>
      <w:bookmarkStart w:id="307" w:name="_Toc443995480"/>
      <w:bookmarkStart w:id="308" w:name="_Toc443995824"/>
      <w:bookmarkStart w:id="309" w:name="_Toc452726103"/>
      <w:bookmarkStart w:id="310" w:name="_Toc454451342"/>
      <w:r>
        <w:rPr>
          <w:rFonts w:ascii="黑体" w:hAnsi="黑体" w:eastAsia="黑体"/>
          <w:sz w:val="22"/>
          <w:szCs w:val="22"/>
        </w:rPr>
        <w:t>第七十条</w:t>
      </w:r>
      <w:r>
        <w:rPr>
          <w:rFonts w:eastAsia="仿宋_GB2312"/>
          <w:sz w:val="22"/>
          <w:szCs w:val="22"/>
        </w:rPr>
        <w:t xml:space="preserve">  财务和保险</w:t>
      </w:r>
      <w:bookmarkEnd w:id="305"/>
      <w:bookmarkEnd w:id="306"/>
      <w:bookmarkEnd w:id="307"/>
      <w:bookmarkEnd w:id="308"/>
      <w:bookmarkEnd w:id="309"/>
      <w:bookmarkEnd w:id="310"/>
    </w:p>
    <w:p>
      <w:pPr>
        <w:spacing w:line="560" w:lineRule="exact"/>
        <w:ind w:firstLine="640" w:firstLineChars="200"/>
        <w:rPr>
          <w:rFonts w:eastAsia="仿宋_GB2312"/>
          <w:sz w:val="22"/>
          <w:szCs w:val="22"/>
        </w:rPr>
      </w:pPr>
      <w:r>
        <w:rPr>
          <w:rFonts w:eastAsia="仿宋_GB2312"/>
          <w:sz w:val="22"/>
          <w:szCs w:val="22"/>
        </w:rPr>
        <w:t>若无单独的财务和保险合同，应在试验方案中说明试验相关的财务和保险问题。</w:t>
      </w:r>
    </w:p>
    <w:p>
      <w:pPr>
        <w:spacing w:line="560" w:lineRule="exact"/>
        <w:ind w:firstLine="640" w:firstLineChars="200"/>
        <w:rPr>
          <w:rFonts w:eastAsia="仿宋_GB2312"/>
          <w:sz w:val="22"/>
          <w:szCs w:val="22"/>
        </w:rPr>
      </w:pPr>
      <w:bookmarkStart w:id="311" w:name="_Toc441830743"/>
      <w:bookmarkStart w:id="312" w:name="_Toc443990492"/>
      <w:bookmarkStart w:id="313" w:name="_Toc443995482"/>
      <w:bookmarkStart w:id="314" w:name="_Toc443995826"/>
      <w:bookmarkStart w:id="315" w:name="_Toc452726105"/>
      <w:bookmarkStart w:id="316" w:name="_Toc454451344"/>
      <w:r>
        <w:rPr>
          <w:rFonts w:ascii="黑体" w:hAnsi="黑体" w:eastAsia="黑体"/>
          <w:sz w:val="22"/>
          <w:szCs w:val="22"/>
        </w:rPr>
        <w:t>第七十一条</w:t>
      </w:r>
      <w:r>
        <w:rPr>
          <w:rFonts w:eastAsia="仿宋_GB2312"/>
          <w:sz w:val="22"/>
          <w:szCs w:val="22"/>
        </w:rPr>
        <w:t xml:space="preserve">  其他</w:t>
      </w:r>
      <w:bookmarkEnd w:id="311"/>
      <w:bookmarkEnd w:id="312"/>
      <w:bookmarkEnd w:id="313"/>
      <w:bookmarkEnd w:id="314"/>
      <w:bookmarkEnd w:id="315"/>
      <w:bookmarkEnd w:id="316"/>
    </w:p>
    <w:p>
      <w:pPr>
        <w:spacing w:line="560" w:lineRule="exact"/>
        <w:ind w:firstLine="640" w:firstLineChars="200"/>
        <w:rPr>
          <w:rFonts w:eastAsia="仿宋_GB2312"/>
          <w:sz w:val="22"/>
          <w:szCs w:val="22"/>
        </w:rPr>
      </w:pPr>
    </w:p>
    <w:p>
      <w:pPr>
        <w:spacing w:line="560" w:lineRule="exact"/>
        <w:ind w:firstLine="640" w:firstLineChars="200"/>
        <w:rPr>
          <w:rFonts w:eastAsia="仿宋_GB2312"/>
          <w:sz w:val="22"/>
          <w:szCs w:val="22"/>
        </w:rPr>
      </w:pPr>
    </w:p>
    <w:p>
      <w:pPr>
        <w:spacing w:line="560" w:lineRule="exact"/>
        <w:ind w:firstLine="640" w:firstLineChars="200"/>
        <w:rPr>
          <w:rFonts w:eastAsia="仿宋_GB2312"/>
          <w:sz w:val="22"/>
          <w:szCs w:val="22"/>
        </w:rPr>
      </w:pPr>
    </w:p>
    <w:p>
      <w:pPr>
        <w:adjustRightInd w:val="0"/>
        <w:snapToGrid w:val="0"/>
        <w:spacing w:line="560" w:lineRule="exact"/>
        <w:jc w:val="center"/>
        <w:rPr>
          <w:rFonts w:ascii="方正小标宋简体" w:eastAsia="方正小标宋简体"/>
          <w:sz w:val="22"/>
          <w:szCs w:val="22"/>
        </w:rPr>
      </w:pPr>
      <w:bookmarkStart w:id="317" w:name="_Toc441830744"/>
      <w:bookmarkStart w:id="318" w:name="_Toc454451345"/>
      <w:r>
        <w:rPr>
          <w:rFonts w:hint="eastAsia" w:ascii="方正小标宋简体" w:eastAsia="方正小标宋简体"/>
          <w:sz w:val="22"/>
          <w:szCs w:val="22"/>
        </w:rPr>
        <w:t>第六章  研究者手册</w:t>
      </w:r>
      <w:bookmarkEnd w:id="317"/>
      <w:bookmarkEnd w:id="318"/>
    </w:p>
    <w:p>
      <w:pPr>
        <w:spacing w:line="560" w:lineRule="exact"/>
        <w:ind w:firstLine="640" w:firstLineChars="200"/>
        <w:rPr>
          <w:rFonts w:eastAsia="仿宋_GB2312"/>
          <w:sz w:val="22"/>
          <w:szCs w:val="22"/>
        </w:rPr>
      </w:pPr>
      <w:bookmarkStart w:id="319" w:name="_Toc452726107"/>
      <w:bookmarkStart w:id="320" w:name="_Toc454451346"/>
      <w:bookmarkStart w:id="321" w:name="_Toc443990495"/>
      <w:bookmarkStart w:id="322" w:name="_Toc443995485"/>
      <w:bookmarkStart w:id="323" w:name="_Toc443995829"/>
      <w:r>
        <w:rPr>
          <w:rFonts w:ascii="黑体" w:hAnsi="黑体" w:eastAsia="黑体"/>
          <w:sz w:val="22"/>
          <w:szCs w:val="22"/>
        </w:rPr>
        <w:t>第七十二条</w:t>
      </w:r>
      <w:r>
        <w:rPr>
          <w:rFonts w:eastAsia="仿宋_GB2312"/>
          <w:sz w:val="22"/>
          <w:szCs w:val="22"/>
        </w:rPr>
        <w:t xml:space="preserve">  撰写研究者手册目的</w:t>
      </w:r>
      <w:bookmarkEnd w:id="319"/>
      <w:bookmarkEnd w:id="320"/>
    </w:p>
    <w:p>
      <w:pPr>
        <w:spacing w:line="560" w:lineRule="exact"/>
        <w:ind w:firstLine="640" w:firstLineChars="200"/>
        <w:rPr>
          <w:rFonts w:eastAsia="仿宋_GB2312"/>
          <w:sz w:val="22"/>
          <w:szCs w:val="22"/>
        </w:rPr>
      </w:pPr>
      <w:r>
        <w:rPr>
          <w:rFonts w:eastAsia="仿宋_GB2312"/>
          <w:sz w:val="22"/>
          <w:szCs w:val="22"/>
        </w:rPr>
        <w:t>申办者提供的《研究者手册》是关于试验药物人体研究的药学、非临床和临床资料的汇编，其内容包括试验药物的化学、药学、毒理学、药理学和临床的（包括以前的和正在进行的试验）资料和数据。</w:t>
      </w:r>
      <w:bookmarkEnd w:id="321"/>
      <w:bookmarkEnd w:id="322"/>
      <w:bookmarkEnd w:id="323"/>
      <w:bookmarkStart w:id="324" w:name="_Toc443995486"/>
      <w:bookmarkStart w:id="325" w:name="_Toc443995830"/>
    </w:p>
    <w:p>
      <w:pPr>
        <w:spacing w:line="560" w:lineRule="exact"/>
        <w:ind w:firstLine="640" w:firstLineChars="200"/>
        <w:rPr>
          <w:rFonts w:eastAsia="仿宋_GB2312"/>
          <w:sz w:val="22"/>
          <w:szCs w:val="22"/>
        </w:rPr>
      </w:pPr>
      <w:r>
        <w:rPr>
          <w:rFonts w:eastAsia="仿宋_GB2312"/>
          <w:sz w:val="22"/>
          <w:szCs w:val="22"/>
        </w:rPr>
        <w:t>撰写研究者手册目的是帮助研究者和参与试验的其他人员更好地理解和遵守临床试验方案，帮助研究者理解临床试验方案中诸多关键的基本要素，包括临床试验的给药剂量、给药次数、给药间隔时间、给药方案、给药方法，主要和次要疗效指标和安全性的观察和监查。</w:t>
      </w:r>
    </w:p>
    <w:bookmarkEnd w:id="324"/>
    <w:bookmarkEnd w:id="325"/>
    <w:p>
      <w:pPr>
        <w:spacing w:line="560" w:lineRule="exact"/>
        <w:ind w:firstLine="640" w:firstLineChars="200"/>
        <w:rPr>
          <w:rFonts w:eastAsia="仿宋_GB2312"/>
          <w:sz w:val="22"/>
          <w:szCs w:val="22"/>
        </w:rPr>
      </w:pPr>
      <w:bookmarkStart w:id="326" w:name="_Toc452726110"/>
      <w:bookmarkStart w:id="327" w:name="_Toc454451349"/>
      <w:bookmarkStart w:id="328" w:name="_Toc443995487"/>
      <w:bookmarkStart w:id="329" w:name="_Toc443995831"/>
      <w:r>
        <w:rPr>
          <w:rFonts w:ascii="黑体" w:hAnsi="黑体" w:eastAsia="黑体"/>
          <w:sz w:val="22"/>
          <w:szCs w:val="22"/>
        </w:rPr>
        <w:t>第七十三条</w:t>
      </w:r>
      <w:r>
        <w:rPr>
          <w:rFonts w:eastAsia="仿宋_GB2312"/>
          <w:sz w:val="22"/>
          <w:szCs w:val="22"/>
        </w:rPr>
        <w:t xml:space="preserve">  基本信息</w:t>
      </w:r>
      <w:bookmarkEnd w:id="326"/>
      <w:bookmarkEnd w:id="327"/>
    </w:p>
    <w:p>
      <w:pPr>
        <w:spacing w:line="560" w:lineRule="exact"/>
        <w:ind w:firstLine="640" w:firstLineChars="200"/>
        <w:rPr>
          <w:rFonts w:eastAsia="仿宋_GB2312"/>
          <w:sz w:val="22"/>
          <w:szCs w:val="22"/>
        </w:rPr>
      </w:pPr>
      <w:bookmarkStart w:id="330" w:name="_Toc452726111"/>
      <w:bookmarkStart w:id="331" w:name="_Toc454451350"/>
      <w:r>
        <w:rPr>
          <w:rFonts w:eastAsia="仿宋_GB2312"/>
          <w:sz w:val="22"/>
          <w:szCs w:val="22"/>
        </w:rPr>
        <w:t>研究者手册需要包含的基本信息见下文，尽量按本规范对手册内容的编排建议撰写。随着药物研发过程的发展和科技的进步，手册内容要求的信息和范围也将会有变化。</w:t>
      </w:r>
      <w:bookmarkEnd w:id="328"/>
      <w:bookmarkEnd w:id="329"/>
      <w:bookmarkEnd w:id="330"/>
      <w:bookmarkEnd w:id="331"/>
      <w:bookmarkStart w:id="332" w:name="_Toc443995488"/>
      <w:bookmarkStart w:id="333" w:name="_Toc443995832"/>
    </w:p>
    <w:p>
      <w:pPr>
        <w:spacing w:line="560" w:lineRule="exact"/>
        <w:ind w:firstLine="640" w:firstLineChars="200"/>
        <w:rPr>
          <w:rFonts w:eastAsia="仿宋_GB2312"/>
          <w:sz w:val="22"/>
          <w:szCs w:val="22"/>
        </w:rPr>
      </w:pPr>
      <w:bookmarkStart w:id="334" w:name="_Toc452726112"/>
      <w:bookmarkStart w:id="335" w:name="_Toc454451351"/>
      <w:r>
        <w:rPr>
          <w:rFonts w:eastAsia="仿宋_GB2312"/>
          <w:sz w:val="22"/>
          <w:szCs w:val="22"/>
        </w:rPr>
        <w:t>对于已批准上市药品进行临床试验时，研究者已充分了解该药品的药理学等相关知识，研究者手册的编写可以简化。可应用药品监督管理部门批准的药品说明书等形式替代研究者手册的部分内容；只需要向研究者提供进行临床试验时所需要的重要的、关于试验用药品最近的、综合性的、详细的信息。已上市的药品进行新用途（如新适应证）的临床试验时，则应编写与新用途相关的研究者手册。</w:t>
      </w:r>
      <w:bookmarkEnd w:id="332"/>
      <w:bookmarkEnd w:id="333"/>
      <w:bookmarkEnd w:id="334"/>
      <w:bookmarkEnd w:id="335"/>
    </w:p>
    <w:p>
      <w:pPr>
        <w:spacing w:line="560" w:lineRule="exact"/>
        <w:ind w:firstLine="640" w:firstLineChars="200"/>
        <w:rPr>
          <w:rFonts w:eastAsia="仿宋_GB2312"/>
          <w:sz w:val="22"/>
          <w:szCs w:val="22"/>
        </w:rPr>
      </w:pPr>
      <w:bookmarkStart w:id="336" w:name="_Toc452726113"/>
      <w:bookmarkStart w:id="337" w:name="_Toc454451352"/>
      <w:bookmarkStart w:id="338" w:name="_Toc443995489"/>
      <w:bookmarkStart w:id="339" w:name="_Toc443995833"/>
      <w:r>
        <w:rPr>
          <w:rFonts w:ascii="黑体" w:hAnsi="黑体" w:eastAsia="黑体"/>
          <w:sz w:val="22"/>
          <w:szCs w:val="22"/>
        </w:rPr>
        <w:t>第七十四条</w:t>
      </w:r>
      <w:r>
        <w:rPr>
          <w:rFonts w:eastAsia="仿宋_GB2312"/>
          <w:sz w:val="22"/>
          <w:szCs w:val="22"/>
        </w:rPr>
        <w:t xml:space="preserve">  制定研究者手册修订的书面程序</w:t>
      </w:r>
      <w:bookmarkEnd w:id="336"/>
      <w:bookmarkEnd w:id="337"/>
    </w:p>
    <w:p>
      <w:pPr>
        <w:spacing w:line="560" w:lineRule="exact"/>
        <w:ind w:firstLine="640" w:firstLineChars="200"/>
        <w:rPr>
          <w:rFonts w:eastAsia="仿宋_GB2312"/>
          <w:sz w:val="22"/>
          <w:szCs w:val="22"/>
        </w:rPr>
      </w:pPr>
      <w:bookmarkStart w:id="340" w:name="_Toc452726114"/>
      <w:bookmarkStart w:id="341" w:name="_Toc454451353"/>
      <w:r>
        <w:rPr>
          <w:rFonts w:eastAsia="仿宋_GB2312"/>
          <w:sz w:val="22"/>
          <w:szCs w:val="22"/>
        </w:rPr>
        <w:t>申办者必须制定研究者手册修订的书面程序，照此程序研究者手册在试验期间至少每年审阅和修订一次。根据新药临床试验的研发步骤和临床试验过程中获得的相关药物安全性和有效性的新信息，研究者手册可能需要更多次地进行修订。申办者获得的这些重要的新信息，在研究者手册更新之前，也应先告知研究者，必要时与伦理委员会和/或药品监督管理部门沟通。</w:t>
      </w:r>
      <w:bookmarkEnd w:id="338"/>
      <w:bookmarkEnd w:id="339"/>
      <w:bookmarkEnd w:id="340"/>
      <w:bookmarkEnd w:id="341"/>
      <w:bookmarkStart w:id="342" w:name="_Toc443995490"/>
      <w:bookmarkStart w:id="343" w:name="_Toc443995834"/>
    </w:p>
    <w:p>
      <w:pPr>
        <w:spacing w:line="560" w:lineRule="exact"/>
        <w:ind w:firstLine="640" w:firstLineChars="200"/>
        <w:rPr>
          <w:rFonts w:eastAsia="仿宋_GB2312"/>
          <w:sz w:val="22"/>
          <w:szCs w:val="22"/>
        </w:rPr>
      </w:pPr>
      <w:bookmarkStart w:id="344" w:name="_Toc452726115"/>
      <w:bookmarkStart w:id="345" w:name="_Toc454451354"/>
      <w:r>
        <w:rPr>
          <w:rFonts w:eastAsia="仿宋_GB2312"/>
          <w:sz w:val="22"/>
          <w:szCs w:val="22"/>
        </w:rPr>
        <w:t>申办者负责更新研究者手册并及时送达研究者，研究者负责将更新的手册递交伦理委员会。</w:t>
      </w:r>
      <w:bookmarkEnd w:id="342"/>
      <w:bookmarkEnd w:id="343"/>
      <w:bookmarkEnd w:id="344"/>
      <w:bookmarkEnd w:id="345"/>
    </w:p>
    <w:p>
      <w:pPr>
        <w:spacing w:line="560" w:lineRule="exact"/>
        <w:ind w:firstLine="640" w:firstLineChars="200"/>
        <w:rPr>
          <w:rFonts w:eastAsia="仿宋_GB2312"/>
          <w:sz w:val="22"/>
          <w:szCs w:val="22"/>
        </w:rPr>
      </w:pPr>
      <w:bookmarkStart w:id="346" w:name="_Toc441830746"/>
      <w:bookmarkStart w:id="347" w:name="_Toc443990496"/>
      <w:bookmarkStart w:id="348" w:name="_Toc443995492"/>
      <w:bookmarkStart w:id="349" w:name="_Toc443995836"/>
      <w:bookmarkStart w:id="350" w:name="_Toc452726116"/>
      <w:bookmarkStart w:id="351" w:name="_Toc454451355"/>
      <w:r>
        <w:rPr>
          <w:rFonts w:ascii="黑体" w:hAnsi="黑体" w:eastAsia="黑体"/>
          <w:sz w:val="22"/>
          <w:szCs w:val="22"/>
        </w:rPr>
        <w:t>第七十五条</w:t>
      </w:r>
      <w:r>
        <w:rPr>
          <w:rFonts w:eastAsia="仿宋_GB2312"/>
          <w:sz w:val="22"/>
          <w:szCs w:val="22"/>
        </w:rPr>
        <w:t xml:space="preserve">  研究者手册的一般考虑</w:t>
      </w:r>
      <w:bookmarkEnd w:id="346"/>
      <w:bookmarkEnd w:id="347"/>
      <w:bookmarkEnd w:id="348"/>
      <w:bookmarkEnd w:id="349"/>
      <w:bookmarkEnd w:id="350"/>
      <w:bookmarkEnd w:id="351"/>
    </w:p>
    <w:p>
      <w:pPr>
        <w:spacing w:line="560" w:lineRule="exact"/>
        <w:ind w:firstLine="640" w:firstLineChars="200"/>
        <w:rPr>
          <w:rFonts w:eastAsia="仿宋_GB2312"/>
          <w:sz w:val="22"/>
          <w:szCs w:val="22"/>
        </w:rPr>
      </w:pPr>
      <w:r>
        <w:rPr>
          <w:rFonts w:eastAsia="仿宋_GB2312"/>
          <w:sz w:val="22"/>
          <w:szCs w:val="22"/>
        </w:rPr>
        <w:t>（一）研究者手册的扉页必须写明申办者的名称；所有试验药物的标识，包括研究编号、化学名称或已批准的通用名称、申办者拟定并被批准的合法商品名；版本号、发布日期；和替换版本号、替换日期。</w:t>
      </w:r>
    </w:p>
    <w:p>
      <w:pPr>
        <w:spacing w:line="560" w:lineRule="exact"/>
        <w:ind w:firstLine="640" w:firstLineChars="200"/>
        <w:rPr>
          <w:rFonts w:eastAsia="仿宋_GB2312"/>
          <w:sz w:val="22"/>
          <w:szCs w:val="22"/>
        </w:rPr>
      </w:pPr>
      <w:r>
        <w:rPr>
          <w:rFonts w:eastAsia="仿宋_GB2312"/>
          <w:sz w:val="22"/>
          <w:szCs w:val="22"/>
        </w:rPr>
        <w:t>（二）申办者若认为该研究者手册属于保密性文件，需要表明该手册仅供研究者和伦理委员会使用。</w:t>
      </w:r>
    </w:p>
    <w:p>
      <w:pPr>
        <w:spacing w:line="560" w:lineRule="exact"/>
        <w:ind w:firstLine="640" w:firstLineChars="200"/>
        <w:rPr>
          <w:rFonts w:eastAsia="仿宋_GB2312"/>
          <w:sz w:val="22"/>
          <w:szCs w:val="22"/>
        </w:rPr>
      </w:pPr>
      <w:bookmarkStart w:id="352" w:name="_Toc452726117"/>
      <w:bookmarkStart w:id="353" w:name="_Toc454451356"/>
      <w:r>
        <w:rPr>
          <w:rFonts w:ascii="黑体" w:hAnsi="黑体" w:eastAsia="黑体"/>
          <w:sz w:val="22"/>
          <w:szCs w:val="22"/>
        </w:rPr>
        <w:t>第七十六条</w:t>
      </w:r>
      <w:r>
        <w:rPr>
          <w:rFonts w:eastAsia="仿宋_GB2312"/>
          <w:sz w:val="22"/>
          <w:szCs w:val="22"/>
        </w:rPr>
        <w:t xml:space="preserve">  研究者手册须具有的内容</w:t>
      </w:r>
      <w:bookmarkEnd w:id="352"/>
      <w:bookmarkEnd w:id="353"/>
    </w:p>
    <w:p>
      <w:pPr>
        <w:spacing w:line="560" w:lineRule="exact"/>
        <w:ind w:firstLine="640" w:firstLineChars="200"/>
        <w:rPr>
          <w:rFonts w:eastAsia="仿宋_GB2312"/>
          <w:sz w:val="22"/>
          <w:szCs w:val="22"/>
        </w:rPr>
      </w:pPr>
      <w:r>
        <w:rPr>
          <w:rFonts w:eastAsia="仿宋_GB2312"/>
          <w:sz w:val="22"/>
          <w:szCs w:val="22"/>
        </w:rPr>
        <w:t>（一）目录，研究者手册目录内容：保密性陈述、签字页、目录、概要、引言、试验用药品的物理学、化学、药学特性和结构式、非临床研究、非临床药理学、动物体内药物动力学和药物代谢、毒理学、人体内作用、人体内的药物动力学和药物代谢、安全性和有效性、上市销售情况、数据概要和研究者指南、注意事项、参考资料、已发表文献、报告要求、参考资料应在每一章节末列出。</w:t>
      </w:r>
    </w:p>
    <w:p>
      <w:pPr>
        <w:spacing w:line="560" w:lineRule="exact"/>
        <w:ind w:firstLine="640" w:firstLineChars="200"/>
        <w:rPr>
          <w:rFonts w:eastAsia="仿宋_GB2312"/>
          <w:sz w:val="22"/>
          <w:szCs w:val="22"/>
        </w:rPr>
      </w:pPr>
      <w:r>
        <w:rPr>
          <w:rFonts w:eastAsia="仿宋_GB2312"/>
          <w:sz w:val="22"/>
          <w:szCs w:val="22"/>
        </w:rPr>
        <w:t>（二）摘要，应言简意赅。重点介绍试验药物研发过程中具重要意义的物理学、化学、药学、药理学、毒理学、药代动力学、药物代谢学和临床等信息内容。</w:t>
      </w:r>
    </w:p>
    <w:p>
      <w:pPr>
        <w:spacing w:line="560" w:lineRule="exact"/>
        <w:ind w:firstLine="640" w:firstLineChars="200"/>
        <w:rPr>
          <w:rFonts w:eastAsia="仿宋_GB2312"/>
          <w:sz w:val="22"/>
          <w:szCs w:val="22"/>
        </w:rPr>
      </w:pPr>
      <w:r>
        <w:rPr>
          <w:rFonts w:eastAsia="仿宋_GB2312"/>
          <w:sz w:val="22"/>
          <w:szCs w:val="22"/>
        </w:rPr>
        <w:t>（三）前言，简要介绍试验药物的化学名称或已批准的通用名称、批准的商品名；试验药物的所有活性成分、药理学分类、及其在同类药品中的预期地位（如优势）；试验药物进行临床试验的立题依据；拟定的试验药物用于疾病的预防、诊断和治疗。前言中还应表述评价试验药物的常规方法。</w:t>
      </w:r>
    </w:p>
    <w:p>
      <w:pPr>
        <w:spacing w:line="560" w:lineRule="exact"/>
        <w:ind w:firstLine="640" w:firstLineChars="200"/>
        <w:rPr>
          <w:rFonts w:eastAsia="仿宋_GB2312"/>
          <w:sz w:val="22"/>
          <w:szCs w:val="22"/>
        </w:rPr>
      </w:pPr>
      <w:r>
        <w:rPr>
          <w:rFonts w:eastAsia="仿宋_GB2312"/>
          <w:sz w:val="22"/>
          <w:szCs w:val="22"/>
        </w:rPr>
        <w:t>（四）在研究者手册中应清楚表述试验用药品的化学式、结构式，简述其理化和药学特性。为确保临床试验实施采用的必要的安全措施，必须提供试验药物的相关制剂信息，辅料成分及配方理由。并且说明试验药物的储存方法和使用方法。</w:t>
      </w:r>
    </w:p>
    <w:p>
      <w:pPr>
        <w:spacing w:line="560" w:lineRule="exact"/>
        <w:ind w:firstLine="640" w:firstLineChars="200"/>
        <w:rPr>
          <w:rFonts w:eastAsia="仿宋_GB2312"/>
          <w:sz w:val="22"/>
          <w:szCs w:val="22"/>
        </w:rPr>
      </w:pPr>
      <w:r>
        <w:rPr>
          <w:rFonts w:eastAsia="仿宋_GB2312"/>
          <w:sz w:val="22"/>
          <w:szCs w:val="22"/>
        </w:rPr>
        <w:t>（五）若试验药物与其他已知药物的结构相似，应予以说明。</w:t>
      </w:r>
    </w:p>
    <w:p>
      <w:pPr>
        <w:spacing w:line="560" w:lineRule="exact"/>
        <w:ind w:firstLine="640" w:firstLineChars="200"/>
        <w:rPr>
          <w:rFonts w:eastAsia="仿宋_GB2312"/>
          <w:sz w:val="22"/>
          <w:szCs w:val="22"/>
        </w:rPr>
      </w:pPr>
      <w:r>
        <w:rPr>
          <w:rFonts w:eastAsia="仿宋_GB2312"/>
          <w:sz w:val="22"/>
          <w:szCs w:val="22"/>
        </w:rPr>
        <w:t>（六）临床前研究介绍，简要介绍试验药物临床前的药理学、毒理学、药代动力学和药物代谢学研究发现的相关结果。说明这些非临床研究的方法学、研究结果，讨论这些发现对人体临床治疗意义的提示、对人体可能的不利作用和对人体非预期效应的相关性。</w:t>
      </w:r>
    </w:p>
    <w:p>
      <w:pPr>
        <w:spacing w:line="560" w:lineRule="exact"/>
        <w:ind w:firstLine="640" w:firstLineChars="200"/>
        <w:rPr>
          <w:rFonts w:eastAsia="仿宋_GB2312"/>
          <w:sz w:val="22"/>
          <w:szCs w:val="22"/>
        </w:rPr>
      </w:pPr>
      <w:r>
        <w:rPr>
          <w:rFonts w:eastAsia="仿宋_GB2312"/>
          <w:sz w:val="22"/>
          <w:szCs w:val="22"/>
        </w:rPr>
        <w:t>（七）研究者手册还应提供以下非临床研究中已知的或可用的信息：试验动物的种属、每组动物的数目和性别、给药剂量单位（如毫克/公斤（mg/kg））、给药剂量间隔、给药途径、给药持续时间、系统分布资料、暴露后随访期限。研究结果必须包括试验药物药理效应、毒性效应的特性和频度；药理效应、毒性效应的严重性或强度；起效时间；药效的可逆性；药物作用持续时间和剂量反应。若用表格或列表的方式能够更清晰表达上述内容，则建议使用。前言中还应讨论非临床研究中最重要的发现，如量效反应、与人类可能的相关性及可能进行人体研究的多方面问题。若同一种属动物的有效剂量、非毒性剂量的结果可以进行比较研究，则该结果可用于治疗指数的讨论；并说明研究结果与拟定的人用剂量的相关性。比较研究尽可能基于血液或器官组织水平，而非毫克/公斤体重。</w:t>
      </w:r>
    </w:p>
    <w:p>
      <w:pPr>
        <w:spacing w:line="560" w:lineRule="exact"/>
        <w:ind w:firstLine="640" w:firstLineChars="200"/>
        <w:rPr>
          <w:rFonts w:eastAsia="仿宋_GB2312"/>
          <w:spacing w:val="4"/>
          <w:sz w:val="22"/>
          <w:szCs w:val="22"/>
        </w:rPr>
      </w:pPr>
      <w:r>
        <w:rPr>
          <w:rFonts w:eastAsia="仿宋_GB2312"/>
          <w:sz w:val="22"/>
          <w:szCs w:val="22"/>
        </w:rPr>
        <w:t>（八）介绍非临床的药理学研究时，应包括试验药物的药理</w:t>
      </w:r>
      <w:r>
        <w:rPr>
          <w:rFonts w:eastAsia="仿宋_GB2312"/>
          <w:spacing w:val="4"/>
          <w:sz w:val="22"/>
          <w:szCs w:val="22"/>
        </w:rPr>
        <w:t>学方面的摘要，如可能，还应包括试验用药在动物体内的重要代谢研究。摘要中应包括评价试验用药潜在治疗活性（如有效性模型，受体结合和特异性）的研究，以及评价试验药物安全性的研究（如不同于评价治疗作用的评价药理学作用的专门研究）。</w:t>
      </w:r>
    </w:p>
    <w:p>
      <w:pPr>
        <w:spacing w:line="560" w:lineRule="exact"/>
        <w:ind w:firstLine="640" w:firstLineChars="200"/>
        <w:rPr>
          <w:rFonts w:eastAsia="仿宋_GB2312"/>
          <w:sz w:val="22"/>
          <w:szCs w:val="22"/>
        </w:rPr>
      </w:pPr>
      <w:r>
        <w:rPr>
          <w:rFonts w:eastAsia="仿宋_GB2312"/>
          <w:sz w:val="22"/>
          <w:szCs w:val="22"/>
        </w:rPr>
        <w:t>（九）介绍动物的药物代谢动力学，应包括试验药物在所研究种属动物中的药物动力学、生物转化以及分布的摘要。对发现的讨论应说明试验药物的吸收、局部以及系统的生物利用度及其代谢，以及它们与动物种属药理学和毒理学发现的关系。</w:t>
      </w:r>
    </w:p>
    <w:p>
      <w:pPr>
        <w:spacing w:line="560" w:lineRule="exact"/>
        <w:ind w:firstLine="640" w:firstLineChars="200"/>
        <w:rPr>
          <w:rFonts w:eastAsia="仿宋_GB2312"/>
          <w:sz w:val="22"/>
          <w:szCs w:val="22"/>
        </w:rPr>
      </w:pPr>
      <w:r>
        <w:rPr>
          <w:rFonts w:eastAsia="仿宋_GB2312"/>
          <w:sz w:val="22"/>
          <w:szCs w:val="22"/>
        </w:rPr>
        <w:t>（十）介绍毒理学，在不同动物种属中进行的相关研究所发现的毒理学作用摘要应包括单剂量给药；重复给药；致癌性；特殊毒理研究（如刺激性和致敏性）；生殖毒性；遗传毒性（致突变性）等方面。</w:t>
      </w:r>
    </w:p>
    <w:p>
      <w:pPr>
        <w:spacing w:line="560" w:lineRule="exact"/>
        <w:ind w:firstLine="640" w:firstLineChars="200"/>
        <w:rPr>
          <w:rFonts w:eastAsia="仿宋_GB2312"/>
          <w:sz w:val="22"/>
          <w:szCs w:val="22"/>
        </w:rPr>
      </w:pPr>
      <w:r>
        <w:rPr>
          <w:rFonts w:eastAsia="仿宋_GB2312"/>
          <w:sz w:val="22"/>
          <w:szCs w:val="22"/>
        </w:rPr>
        <w:t>（十一）人体内作用：前言应充分讨论试验药物在人体的已知作用，包括药物动力学、代谢、药效学、剂量反应、安全性、有效性和其他药理学领域的信息。应尽可能提供已完成的所有试验药物临床试验的摘要。还应提供临床试验以外的试验药物的使用情况，如上市期间的经验。</w:t>
      </w:r>
    </w:p>
    <w:p>
      <w:pPr>
        <w:spacing w:line="560" w:lineRule="exact"/>
        <w:ind w:firstLine="640" w:firstLineChars="200"/>
        <w:rPr>
          <w:rFonts w:eastAsia="仿宋_GB2312"/>
          <w:sz w:val="22"/>
          <w:szCs w:val="22"/>
        </w:rPr>
      </w:pPr>
      <w:r>
        <w:rPr>
          <w:rFonts w:eastAsia="仿宋_GB2312"/>
          <w:sz w:val="22"/>
          <w:szCs w:val="22"/>
        </w:rPr>
        <w:t>（十二）试验用药品在人体的药物动力学和代谢动力学信息摘要，包括</w:t>
      </w:r>
      <w:r>
        <w:rPr>
          <w:rFonts w:eastAsia="仿宋_GB2312"/>
          <w:spacing w:val="-8"/>
          <w:sz w:val="22"/>
          <w:szCs w:val="22"/>
        </w:rPr>
        <w:t>药物代谢动力学（包括代谢和吸收，血浆蛋白结合，分布和消除）；试验药物的一个参考剂型的生物利用度（绝对和/或相对生物利用度）</w:t>
      </w:r>
      <w:r>
        <w:rPr>
          <w:rFonts w:eastAsia="仿宋_GB2312"/>
          <w:sz w:val="22"/>
          <w:szCs w:val="22"/>
        </w:rPr>
        <w:t>；人群亚组（如性别、年龄和脏器功能受损）；相互作用（如药物-药物相互作用和药物与食物的相互作用）；其他药物代谢动力学数据（如在临床试验期间完成的群体研究结果）。</w:t>
      </w:r>
    </w:p>
    <w:p>
      <w:pPr>
        <w:spacing w:line="560" w:lineRule="exact"/>
        <w:ind w:firstLine="640" w:firstLineChars="200"/>
        <w:rPr>
          <w:rFonts w:eastAsia="仿宋_GB2312"/>
          <w:sz w:val="22"/>
          <w:szCs w:val="22"/>
        </w:rPr>
      </w:pPr>
      <w:r>
        <w:rPr>
          <w:rFonts w:eastAsia="仿宋_GB2312"/>
          <w:sz w:val="22"/>
          <w:szCs w:val="22"/>
        </w:rPr>
        <w:t>（十三）试验用药品安全性和有效性</w:t>
      </w:r>
    </w:p>
    <w:p>
      <w:pPr>
        <w:spacing w:line="560" w:lineRule="exact"/>
        <w:ind w:firstLine="640" w:firstLineChars="200"/>
        <w:rPr>
          <w:rFonts w:eastAsia="仿宋_GB2312"/>
          <w:sz w:val="22"/>
          <w:szCs w:val="22"/>
        </w:rPr>
      </w:pPr>
      <w:r>
        <w:rPr>
          <w:rFonts w:eastAsia="仿宋_GB2312"/>
          <w:sz w:val="22"/>
          <w:szCs w:val="22"/>
        </w:rPr>
        <w:t>研究者手册应提供从先前人体试验（健康志愿者和/或病人）中得到的关于试验药物（包括代谢物）的安全性、药效学、有效性和剂量反应信息的摘要。应讨论这些信息的含义。如果已经完成多项临床试验，应将多个研究和亚组人群的安全性和有效性数据进行汇总。建议将所有临床试验的药物不良反应（包括所有被研究的适应证）清晰概述（如表格）。应讨论适应证或亚组之间药物不良反应类型/发生率的重要差异。</w:t>
      </w:r>
    </w:p>
    <w:p>
      <w:pPr>
        <w:spacing w:line="560" w:lineRule="exact"/>
        <w:ind w:firstLine="640" w:firstLineChars="200"/>
        <w:rPr>
          <w:rFonts w:eastAsia="仿宋_GB2312"/>
          <w:sz w:val="22"/>
          <w:szCs w:val="22"/>
        </w:rPr>
      </w:pPr>
      <w:r>
        <w:rPr>
          <w:rFonts w:eastAsia="仿宋_GB2312"/>
          <w:sz w:val="22"/>
          <w:szCs w:val="22"/>
        </w:rPr>
        <w:t>（十四）上市或销售情况</w:t>
      </w:r>
    </w:p>
    <w:p>
      <w:pPr>
        <w:spacing w:line="560" w:lineRule="exact"/>
        <w:ind w:firstLine="640" w:firstLineChars="200"/>
        <w:rPr>
          <w:rFonts w:eastAsia="仿宋_GB2312"/>
          <w:sz w:val="22"/>
          <w:szCs w:val="22"/>
        </w:rPr>
      </w:pPr>
      <w:r>
        <w:rPr>
          <w:rFonts w:eastAsia="仿宋_GB2312"/>
          <w:sz w:val="22"/>
          <w:szCs w:val="22"/>
        </w:rPr>
        <w:t>研究者手册应说明试验用药品已经上市或已获批准的国家。从上市使用中得到的任何重要信息（如处方、剂量、给药途径和药物不良反应）应予以概述。手册也应说明试验用药品还没有得到批准/注册上市或退出上市/注册的所有国家。</w:t>
      </w:r>
    </w:p>
    <w:p>
      <w:pPr>
        <w:spacing w:line="560" w:lineRule="exact"/>
        <w:ind w:firstLine="640" w:firstLineChars="200"/>
        <w:rPr>
          <w:rFonts w:eastAsia="仿宋_GB2312"/>
          <w:sz w:val="22"/>
          <w:szCs w:val="22"/>
        </w:rPr>
      </w:pPr>
      <w:r>
        <w:rPr>
          <w:rFonts w:eastAsia="仿宋_GB2312"/>
          <w:sz w:val="22"/>
          <w:szCs w:val="22"/>
        </w:rPr>
        <w:t>（十五）数据概要和研究者指南</w:t>
      </w:r>
    </w:p>
    <w:p>
      <w:pPr>
        <w:spacing w:line="560" w:lineRule="exact"/>
        <w:ind w:firstLine="640" w:firstLineChars="200"/>
        <w:rPr>
          <w:rFonts w:eastAsia="仿宋_GB2312"/>
          <w:sz w:val="22"/>
          <w:szCs w:val="22"/>
        </w:rPr>
      </w:pPr>
      <w:r>
        <w:rPr>
          <w:rFonts w:eastAsia="仿宋_GB2312"/>
          <w:sz w:val="22"/>
          <w:szCs w:val="22"/>
        </w:rPr>
        <w:t>研究者手册应对非临床和临床数据进行全面讨论，可能的情况下，应就各种来源的有关试验用药品不同方面的信息进行概述。这样，研究者可以获得针对现有数据的全面解释，并了解对于将来临床试验意义的评价。合适的情况下，应对有关产品已发表的报告内容进行讨论。这有助于研究者预见到药物不良反应或临床试验中的其他问题。</w:t>
      </w:r>
    </w:p>
    <w:p>
      <w:pPr>
        <w:spacing w:line="560" w:lineRule="exact"/>
        <w:ind w:firstLine="640" w:firstLineChars="200"/>
        <w:rPr>
          <w:rFonts w:eastAsia="仿宋_GB2312"/>
          <w:sz w:val="22"/>
          <w:szCs w:val="22"/>
        </w:rPr>
      </w:pPr>
      <w:r>
        <w:rPr>
          <w:rFonts w:eastAsia="仿宋_GB2312"/>
          <w:sz w:val="22"/>
          <w:szCs w:val="22"/>
        </w:rPr>
        <w:t>（十六）研究者手册小结</w:t>
      </w:r>
    </w:p>
    <w:p>
      <w:pPr>
        <w:spacing w:line="560" w:lineRule="exact"/>
        <w:ind w:firstLine="648" w:firstLineChars="200"/>
        <w:rPr>
          <w:rFonts w:eastAsia="仿宋_GB2312"/>
          <w:spacing w:val="2"/>
          <w:sz w:val="22"/>
          <w:szCs w:val="22"/>
        </w:rPr>
      </w:pPr>
      <w:r>
        <w:rPr>
          <w:rFonts w:eastAsia="仿宋_GB2312"/>
          <w:spacing w:val="2"/>
          <w:sz w:val="22"/>
          <w:szCs w:val="22"/>
        </w:rPr>
        <w:t>研究者手册小结应说明，该手册是让研究者对临床试验可能的风险和不良反应，及可能需要的特殊检查、观察项目和防范措施有一个清楚的理解。这种理解应基于从本手册获得的关于该试验用药品的物理、化学、药学、药理、毒理和临床资料。根据先前人体应用的经验和试验用药品的药理学，也应向临床研究者提供可能的过量服药和药物不良反应的识别和处理措施的指导。</w:t>
      </w:r>
    </w:p>
    <w:p>
      <w:pPr>
        <w:spacing w:line="560" w:lineRule="exact"/>
        <w:ind w:firstLine="640" w:firstLineChars="200"/>
        <w:rPr>
          <w:rFonts w:eastAsia="仿宋_GB2312"/>
          <w:sz w:val="22"/>
          <w:szCs w:val="22"/>
        </w:rPr>
      </w:pPr>
    </w:p>
    <w:p>
      <w:pPr>
        <w:adjustRightInd w:val="0"/>
        <w:snapToGrid w:val="0"/>
        <w:spacing w:line="560" w:lineRule="exact"/>
        <w:jc w:val="center"/>
        <w:rPr>
          <w:rFonts w:ascii="方正小标宋简体" w:eastAsia="方正小标宋简体"/>
          <w:sz w:val="22"/>
          <w:szCs w:val="22"/>
        </w:rPr>
      </w:pPr>
      <w:bookmarkStart w:id="354" w:name="_Toc454451357"/>
      <w:r>
        <w:rPr>
          <w:rFonts w:hint="eastAsia" w:ascii="方正小标宋简体" w:eastAsia="方正小标宋简体"/>
          <w:sz w:val="22"/>
          <w:szCs w:val="22"/>
        </w:rPr>
        <w:t>第七章  必备文件管理</w:t>
      </w:r>
      <w:bookmarkEnd w:id="354"/>
    </w:p>
    <w:p>
      <w:pPr>
        <w:spacing w:line="560" w:lineRule="exact"/>
        <w:ind w:firstLine="640" w:firstLineChars="200"/>
        <w:rPr>
          <w:rFonts w:eastAsia="仿宋_GB2312"/>
          <w:sz w:val="22"/>
          <w:szCs w:val="22"/>
        </w:rPr>
      </w:pPr>
      <w:bookmarkStart w:id="355" w:name="_Toc452726119"/>
      <w:bookmarkStart w:id="356" w:name="_Toc454451358"/>
      <w:r>
        <w:rPr>
          <w:rFonts w:ascii="黑体" w:hAnsi="黑体" w:eastAsia="黑体"/>
          <w:sz w:val="22"/>
          <w:szCs w:val="22"/>
        </w:rPr>
        <w:t>第七十七条</w:t>
      </w:r>
      <w:r>
        <w:rPr>
          <w:rFonts w:eastAsia="仿宋_GB2312"/>
          <w:sz w:val="22"/>
          <w:szCs w:val="22"/>
        </w:rPr>
        <w:t xml:space="preserve">  临床试验必备文件管理的要求</w:t>
      </w:r>
      <w:bookmarkEnd w:id="355"/>
      <w:bookmarkEnd w:id="356"/>
    </w:p>
    <w:p>
      <w:pPr>
        <w:spacing w:line="560" w:lineRule="exact"/>
        <w:ind w:firstLine="640" w:firstLineChars="200"/>
        <w:rPr>
          <w:rFonts w:eastAsia="仿宋_GB2312"/>
          <w:sz w:val="22"/>
          <w:szCs w:val="22"/>
        </w:rPr>
      </w:pPr>
      <w:bookmarkStart w:id="357" w:name="_Toc452726120"/>
      <w:bookmarkStart w:id="358" w:name="_Toc454451359"/>
      <w:r>
        <w:rPr>
          <w:rFonts w:eastAsia="仿宋_GB2312"/>
          <w:sz w:val="22"/>
          <w:szCs w:val="22"/>
        </w:rPr>
        <w:t>临床试验必备文件是指评估临床试验实施和产生数据的单独的、集成的、质量可控的文件。这些文件用于证明研究者、申办者和监查员在临床试验过程中，遵守了本规范和相关药物临床试验的法律法规要求。</w:t>
      </w:r>
      <w:bookmarkEnd w:id="357"/>
      <w:bookmarkEnd w:id="358"/>
    </w:p>
    <w:p>
      <w:pPr>
        <w:spacing w:line="560" w:lineRule="exact"/>
        <w:ind w:firstLine="640" w:firstLineChars="200"/>
        <w:rPr>
          <w:rFonts w:eastAsia="仿宋_GB2312"/>
          <w:sz w:val="22"/>
          <w:szCs w:val="22"/>
        </w:rPr>
      </w:pPr>
      <w:bookmarkStart w:id="359" w:name="_Toc452726121"/>
      <w:bookmarkStart w:id="360" w:name="_Toc454451360"/>
      <w:r>
        <w:rPr>
          <w:rFonts w:eastAsia="仿宋_GB2312"/>
          <w:sz w:val="22"/>
          <w:szCs w:val="22"/>
        </w:rPr>
        <w:t>必备文件是申办者独立稽查、药品监督管理部门检查临床试验的主要内容，并作为确认临床试验实施的真实性和所收集数据完整性的依据。</w:t>
      </w:r>
      <w:bookmarkEnd w:id="359"/>
      <w:bookmarkEnd w:id="360"/>
    </w:p>
    <w:p>
      <w:pPr>
        <w:spacing w:line="560" w:lineRule="exact"/>
        <w:ind w:firstLine="640" w:firstLineChars="200"/>
        <w:rPr>
          <w:rFonts w:eastAsia="仿宋_GB2312"/>
          <w:sz w:val="22"/>
          <w:szCs w:val="22"/>
        </w:rPr>
      </w:pPr>
      <w:bookmarkStart w:id="361" w:name="_Toc452726123"/>
      <w:bookmarkStart w:id="362" w:name="_Toc454451362"/>
      <w:r>
        <w:rPr>
          <w:rFonts w:ascii="黑体" w:hAnsi="黑体" w:eastAsia="黑体"/>
          <w:sz w:val="22"/>
          <w:szCs w:val="22"/>
        </w:rPr>
        <w:t>第七十八条</w:t>
      </w:r>
      <w:r>
        <w:rPr>
          <w:rFonts w:eastAsia="仿宋_GB2312"/>
          <w:sz w:val="22"/>
          <w:szCs w:val="22"/>
        </w:rPr>
        <w:t xml:space="preserve">  必备文件保存的要求</w:t>
      </w:r>
      <w:bookmarkEnd w:id="361"/>
      <w:bookmarkEnd w:id="362"/>
    </w:p>
    <w:p>
      <w:pPr>
        <w:spacing w:line="560" w:lineRule="exact"/>
        <w:ind w:firstLine="640" w:firstLineChars="200"/>
        <w:rPr>
          <w:rFonts w:eastAsia="仿宋_GB2312"/>
          <w:sz w:val="22"/>
          <w:szCs w:val="22"/>
        </w:rPr>
      </w:pPr>
      <w:bookmarkStart w:id="363" w:name="_Toc452726124"/>
      <w:bookmarkStart w:id="364" w:name="_Toc454451363"/>
      <w:r>
        <w:rPr>
          <w:rFonts w:eastAsia="仿宋_GB2312"/>
          <w:sz w:val="22"/>
          <w:szCs w:val="22"/>
        </w:rPr>
        <w:t>申办者、研究者及其供职的医疗机构应确认，双方均有保存这些临床试验必备文件的场所和条件。保存文件的设备条件应具备防止光线直接照射、防水、环境利于长期文件的保存，并制定文件管理的规章制度和SOP。被保存的文件需要易于识别、查找、调阅和归位。</w:t>
      </w:r>
      <w:bookmarkEnd w:id="363"/>
      <w:bookmarkEnd w:id="364"/>
    </w:p>
    <w:p>
      <w:pPr>
        <w:spacing w:line="560" w:lineRule="exact"/>
        <w:ind w:firstLine="640" w:firstLineChars="200"/>
        <w:rPr>
          <w:rFonts w:eastAsia="仿宋_GB2312"/>
          <w:sz w:val="22"/>
          <w:szCs w:val="22"/>
        </w:rPr>
      </w:pPr>
      <w:bookmarkStart w:id="365" w:name="_Toc452726125"/>
      <w:bookmarkStart w:id="366" w:name="_Toc454451364"/>
      <w:r>
        <w:rPr>
          <w:rFonts w:eastAsia="仿宋_GB2312"/>
          <w:sz w:val="22"/>
          <w:szCs w:val="22"/>
        </w:rPr>
        <w:t>临床试验过程中产生的一些文件，如果未列在临床试验各阶段建立的必备文件管理目录中，申办者、研究者及研究机构也需将其列入各自的必备文件档案中保存。</w:t>
      </w:r>
      <w:bookmarkEnd w:id="365"/>
      <w:bookmarkEnd w:id="366"/>
    </w:p>
    <w:p>
      <w:pPr>
        <w:spacing w:line="560" w:lineRule="exact"/>
        <w:ind w:firstLine="640" w:firstLineChars="200"/>
        <w:rPr>
          <w:rFonts w:eastAsia="仿宋_GB2312"/>
          <w:sz w:val="22"/>
          <w:szCs w:val="22"/>
        </w:rPr>
      </w:pPr>
      <w:bookmarkStart w:id="367" w:name="_Toc452726126"/>
      <w:bookmarkStart w:id="368" w:name="_Toc454451365"/>
      <w:r>
        <w:rPr>
          <w:rFonts w:ascii="黑体" w:hAnsi="黑体" w:eastAsia="黑体"/>
          <w:sz w:val="22"/>
          <w:szCs w:val="22"/>
        </w:rPr>
        <w:t>第七十九条</w:t>
      </w:r>
      <w:r>
        <w:rPr>
          <w:rFonts w:eastAsia="仿宋_GB2312"/>
          <w:sz w:val="22"/>
          <w:szCs w:val="22"/>
        </w:rPr>
        <w:t xml:space="preserve">  必备文件中源数据、CRF数据的管理</w:t>
      </w:r>
      <w:bookmarkEnd w:id="367"/>
      <w:bookmarkEnd w:id="368"/>
    </w:p>
    <w:p>
      <w:pPr>
        <w:spacing w:line="560" w:lineRule="exact"/>
        <w:ind w:firstLine="640" w:firstLineChars="200"/>
        <w:rPr>
          <w:rFonts w:eastAsia="仿宋_GB2312"/>
          <w:sz w:val="22"/>
          <w:szCs w:val="22"/>
        </w:rPr>
      </w:pPr>
      <w:bookmarkStart w:id="369" w:name="_Toc452726127"/>
      <w:bookmarkStart w:id="370" w:name="_Toc454451366"/>
      <w:r>
        <w:rPr>
          <w:rFonts w:eastAsia="仿宋_GB2312"/>
          <w:sz w:val="22"/>
          <w:szCs w:val="22"/>
        </w:rPr>
        <w:t>申办者应确保研究者能保留已递交给申办者的CRF数据。用作源文件的复印件必须满足核证副本的要求。</w:t>
      </w:r>
      <w:bookmarkEnd w:id="369"/>
      <w:bookmarkEnd w:id="370"/>
    </w:p>
    <w:p>
      <w:pPr>
        <w:spacing w:line="560" w:lineRule="exact"/>
        <w:ind w:firstLine="640" w:firstLineChars="200"/>
        <w:rPr>
          <w:rFonts w:eastAsia="仿宋_GB2312"/>
          <w:sz w:val="22"/>
          <w:szCs w:val="22"/>
        </w:rPr>
      </w:pPr>
      <w:bookmarkStart w:id="371" w:name="_Toc452726128"/>
      <w:bookmarkStart w:id="372" w:name="_Toc454451367"/>
      <w:r>
        <w:rPr>
          <w:rFonts w:eastAsia="仿宋_GB2312"/>
          <w:sz w:val="22"/>
          <w:szCs w:val="22"/>
        </w:rPr>
        <w:t>研究者及其供职的医疗机构能够管理所有临床试验的必备文件，并且保证在临床试验实施全过程中原始数据产生的真实性。</w:t>
      </w:r>
      <w:bookmarkEnd w:id="371"/>
      <w:bookmarkEnd w:id="372"/>
    </w:p>
    <w:p>
      <w:pPr>
        <w:spacing w:line="560" w:lineRule="exact"/>
        <w:ind w:firstLine="640" w:firstLineChars="200"/>
        <w:rPr>
          <w:rFonts w:eastAsia="仿宋_GB2312"/>
          <w:sz w:val="22"/>
          <w:szCs w:val="22"/>
        </w:rPr>
      </w:pPr>
      <w:bookmarkStart w:id="373" w:name="_Toc452726129"/>
      <w:bookmarkStart w:id="374" w:name="_Toc454451368"/>
      <w:r>
        <w:rPr>
          <w:rFonts w:ascii="黑体" w:hAnsi="黑体" w:eastAsia="黑体"/>
          <w:sz w:val="22"/>
          <w:szCs w:val="22"/>
        </w:rPr>
        <w:t>第八十条</w:t>
      </w:r>
      <w:r>
        <w:rPr>
          <w:rFonts w:eastAsia="仿宋_GB2312"/>
          <w:sz w:val="22"/>
          <w:szCs w:val="22"/>
        </w:rPr>
        <w:t xml:space="preserve">  必备文件分阶段保存的要求</w:t>
      </w:r>
      <w:bookmarkEnd w:id="373"/>
      <w:bookmarkEnd w:id="374"/>
    </w:p>
    <w:p>
      <w:pPr>
        <w:snapToGrid w:val="0"/>
        <w:spacing w:line="600" w:lineRule="exact"/>
        <w:ind w:firstLine="640" w:firstLineChars="200"/>
        <w:rPr>
          <w:rFonts w:eastAsia="仿宋_GB2312"/>
          <w:sz w:val="22"/>
          <w:szCs w:val="22"/>
        </w:rPr>
      </w:pPr>
      <w:bookmarkStart w:id="375" w:name="_Toc452726130"/>
      <w:bookmarkStart w:id="376" w:name="_Toc454451369"/>
      <w:r>
        <w:rPr>
          <w:rFonts w:eastAsia="仿宋_GB2312"/>
          <w:sz w:val="22"/>
          <w:szCs w:val="22"/>
        </w:rPr>
        <w:t>必备文件根据临床试验不同阶段归类为三个阶段：临床试验准备阶段</w:t>
      </w:r>
      <w:r>
        <w:rPr>
          <w:rFonts w:hint="eastAsia" w:eastAsia="仿宋_GB2312"/>
          <w:sz w:val="22"/>
          <w:szCs w:val="22"/>
        </w:rPr>
        <w:t>、</w:t>
      </w:r>
      <w:r>
        <w:rPr>
          <w:rFonts w:eastAsia="仿宋_GB2312"/>
          <w:sz w:val="22"/>
          <w:szCs w:val="22"/>
        </w:rPr>
        <w:t>临床试验进行阶段</w:t>
      </w:r>
      <w:r>
        <w:rPr>
          <w:rFonts w:hint="eastAsia" w:eastAsia="仿宋_GB2312"/>
          <w:sz w:val="22"/>
          <w:szCs w:val="22"/>
        </w:rPr>
        <w:t>、</w:t>
      </w:r>
      <w:r>
        <w:rPr>
          <w:rFonts w:eastAsia="仿宋_GB2312"/>
          <w:sz w:val="22"/>
          <w:szCs w:val="22"/>
        </w:rPr>
        <w:t>临床试验完成后阶段</w:t>
      </w:r>
      <w:r>
        <w:rPr>
          <w:rFonts w:hint="eastAsia" w:eastAsia="仿宋_GB2312"/>
          <w:sz w:val="22"/>
          <w:szCs w:val="22"/>
        </w:rPr>
        <w:t>。（临床试验保存文件见附件）</w:t>
      </w:r>
      <w:r>
        <w:rPr>
          <w:rFonts w:eastAsia="仿宋_GB2312"/>
          <w:sz w:val="22"/>
          <w:szCs w:val="22"/>
        </w:rPr>
        <w:t>。</w:t>
      </w:r>
      <w:bookmarkEnd w:id="375"/>
      <w:bookmarkEnd w:id="376"/>
    </w:p>
    <w:p>
      <w:pPr>
        <w:spacing w:line="560" w:lineRule="exact"/>
        <w:ind w:firstLine="640" w:firstLineChars="200"/>
        <w:rPr>
          <w:rFonts w:eastAsia="仿宋_GB2312"/>
          <w:sz w:val="22"/>
          <w:szCs w:val="22"/>
        </w:rPr>
      </w:pPr>
      <w:bookmarkStart w:id="377" w:name="_Toc452726131"/>
      <w:bookmarkStart w:id="378" w:name="_Toc454451370"/>
      <w:r>
        <w:rPr>
          <w:rFonts w:eastAsia="仿宋_GB2312"/>
          <w:sz w:val="22"/>
          <w:szCs w:val="22"/>
        </w:rPr>
        <w:t>每一必备文件需说明其存在的目的，并说明该文件需要列入研究者及其供职的医疗机构保管，或申办者、或研究者和申办者双方保管的必备文件档案中。</w:t>
      </w:r>
      <w:bookmarkEnd w:id="377"/>
      <w:bookmarkEnd w:id="378"/>
    </w:p>
    <w:p>
      <w:pPr>
        <w:spacing w:line="560" w:lineRule="exact"/>
        <w:ind w:firstLine="648" w:firstLineChars="200"/>
        <w:rPr>
          <w:rFonts w:eastAsia="仿宋_GB2312"/>
          <w:spacing w:val="2"/>
          <w:sz w:val="22"/>
          <w:szCs w:val="22"/>
        </w:rPr>
      </w:pPr>
      <w:bookmarkStart w:id="379" w:name="_Toc452726132"/>
      <w:bookmarkStart w:id="380" w:name="_Toc454451371"/>
      <w:r>
        <w:rPr>
          <w:rFonts w:eastAsia="仿宋_GB2312"/>
          <w:spacing w:val="2"/>
          <w:sz w:val="22"/>
          <w:szCs w:val="22"/>
        </w:rPr>
        <w:t>临床试验开始时，研究者及其供职的医疗机构、申办者双方各自的办公室均应建立试验必备文件的档案管理。试验结束时，监查员必须审核确认研究者及研究机构、申办者各自的必备文件，这些文件必须被妥善的保存在各自的临床试验档案卷宗内。</w:t>
      </w:r>
      <w:bookmarkEnd w:id="379"/>
      <w:bookmarkEnd w:id="380"/>
      <w:bookmarkStart w:id="381" w:name="_Toc441830752"/>
      <w:bookmarkStart w:id="382" w:name="_Toc443995498"/>
      <w:bookmarkStart w:id="383" w:name="_Toc443995841"/>
    </w:p>
    <w:p>
      <w:pPr>
        <w:spacing w:line="560" w:lineRule="exact"/>
        <w:ind w:firstLine="648" w:firstLineChars="200"/>
        <w:rPr>
          <w:rFonts w:eastAsia="仿宋_GB2312"/>
          <w:spacing w:val="2"/>
          <w:sz w:val="22"/>
          <w:szCs w:val="22"/>
        </w:rPr>
      </w:pPr>
    </w:p>
    <w:bookmarkEnd w:id="381"/>
    <w:bookmarkEnd w:id="382"/>
    <w:bookmarkEnd w:id="383"/>
    <w:p>
      <w:pPr>
        <w:adjustRightInd w:val="0"/>
        <w:snapToGrid w:val="0"/>
        <w:spacing w:line="560" w:lineRule="exact"/>
        <w:jc w:val="center"/>
        <w:rPr>
          <w:rFonts w:ascii="方正小标宋简体" w:eastAsia="方正小标宋简体"/>
          <w:sz w:val="22"/>
          <w:szCs w:val="22"/>
        </w:rPr>
      </w:pPr>
      <w:bookmarkStart w:id="384" w:name="_Toc454451375"/>
      <w:bookmarkStart w:id="385" w:name="_Toc441830755"/>
      <w:r>
        <w:rPr>
          <w:rFonts w:hint="eastAsia" w:ascii="方正小标宋简体" w:eastAsia="方正小标宋简体"/>
          <w:sz w:val="22"/>
          <w:szCs w:val="22"/>
        </w:rPr>
        <w:t>第八章  附  则</w:t>
      </w:r>
      <w:bookmarkEnd w:id="384"/>
    </w:p>
    <w:p>
      <w:pPr>
        <w:wordWrap w:val="0"/>
        <w:spacing w:line="560" w:lineRule="exact"/>
        <w:ind w:firstLine="640" w:firstLineChars="200"/>
        <w:rPr>
          <w:rFonts w:eastAsia="仿宋_GB2312"/>
          <w:sz w:val="22"/>
          <w:szCs w:val="22"/>
        </w:rPr>
      </w:pPr>
      <w:bookmarkStart w:id="386" w:name="_Toc454451376"/>
      <w:r>
        <w:rPr>
          <w:rFonts w:ascii="黑体" w:hAnsi="黑体" w:eastAsia="黑体"/>
          <w:sz w:val="22"/>
          <w:szCs w:val="22"/>
        </w:rPr>
        <w:t>第八十一条</w:t>
      </w:r>
      <w:r>
        <w:rPr>
          <w:rFonts w:eastAsia="仿宋_GB2312"/>
          <w:sz w:val="22"/>
          <w:szCs w:val="22"/>
        </w:rPr>
        <w:t xml:space="preserve">  本规范下列用语的含义是：</w:t>
      </w:r>
      <w:bookmarkEnd w:id="385"/>
      <w:bookmarkEnd w:id="386"/>
      <w:bookmarkStart w:id="387" w:name="_Toc441830756"/>
    </w:p>
    <w:bookmarkEnd w:id="387"/>
    <w:p>
      <w:pPr>
        <w:wordWrap w:val="0"/>
        <w:spacing w:line="560" w:lineRule="exact"/>
        <w:ind w:firstLine="640" w:firstLineChars="200"/>
        <w:rPr>
          <w:rFonts w:eastAsia="仿宋_GB2312"/>
          <w:sz w:val="22"/>
          <w:szCs w:val="22"/>
        </w:rPr>
      </w:pPr>
      <w:r>
        <w:rPr>
          <w:rFonts w:eastAsia="楷体_GB2312"/>
          <w:bCs/>
          <w:sz w:val="22"/>
          <w:szCs w:val="22"/>
        </w:rPr>
        <w:t>药物临床试验、临床研究（Clinical trial/study），</w:t>
      </w:r>
      <w:r>
        <w:rPr>
          <w:rFonts w:eastAsia="仿宋_GB2312"/>
          <w:sz w:val="22"/>
          <w:szCs w:val="22"/>
        </w:rPr>
        <w:t>指任何以人类（病人或健康志愿者）为对象的试验、研究，意在发现或证实某种试验药物的临床医学、药理学和/或其他药效学作用进行的系统性试验、研究。以证实或揭示试验药物在人体的作用、不良反应及/或试验药物的吸收、分布、代谢和排泄，以确定药物的疗效与安全性的试验、研究。药物临床试验和药物临床研究在此意义等同。</w:t>
      </w:r>
    </w:p>
    <w:p>
      <w:pPr>
        <w:wordWrap w:val="0"/>
        <w:spacing w:line="560" w:lineRule="exact"/>
        <w:ind w:firstLine="640" w:firstLineChars="200"/>
        <w:rPr>
          <w:rFonts w:eastAsia="仿宋_GB2312"/>
          <w:sz w:val="22"/>
          <w:szCs w:val="22"/>
        </w:rPr>
      </w:pPr>
      <w:bookmarkStart w:id="388" w:name="_Toc441830757"/>
      <w:r>
        <w:rPr>
          <w:rFonts w:eastAsia="楷体_GB2312"/>
          <w:bCs/>
          <w:sz w:val="22"/>
          <w:szCs w:val="22"/>
        </w:rPr>
        <w:t>药物临床试验的依从性（Compliance in relation to trials）</w:t>
      </w:r>
      <w:bookmarkEnd w:id="388"/>
      <w:r>
        <w:rPr>
          <w:rFonts w:eastAsia="楷体_GB2312"/>
          <w:bCs/>
          <w:sz w:val="22"/>
          <w:szCs w:val="22"/>
        </w:rPr>
        <w:t>，</w:t>
      </w:r>
      <w:r>
        <w:rPr>
          <w:rFonts w:eastAsia="仿宋_GB2312"/>
          <w:sz w:val="22"/>
          <w:szCs w:val="22"/>
        </w:rPr>
        <w:t>临床试验参与各方遵守与临床试验有关的所有要求、GCP和相应的医药管理法律法规。</w:t>
      </w:r>
    </w:p>
    <w:p>
      <w:pPr>
        <w:wordWrap w:val="0"/>
        <w:spacing w:line="560" w:lineRule="exact"/>
        <w:ind w:firstLine="640" w:firstLineChars="200"/>
        <w:rPr>
          <w:rFonts w:eastAsia="仿宋_GB2312"/>
          <w:sz w:val="22"/>
          <w:szCs w:val="22"/>
        </w:rPr>
      </w:pPr>
      <w:bookmarkStart w:id="389" w:name="_Toc441830758"/>
      <w:r>
        <w:rPr>
          <w:rFonts w:eastAsia="楷体_GB2312"/>
          <w:bCs/>
          <w:sz w:val="22"/>
          <w:szCs w:val="22"/>
        </w:rPr>
        <w:t>非临床研究（Nonclinical study）</w:t>
      </w:r>
      <w:bookmarkEnd w:id="389"/>
      <w:r>
        <w:rPr>
          <w:rFonts w:eastAsia="楷体_GB2312"/>
          <w:bCs/>
          <w:sz w:val="22"/>
          <w:szCs w:val="22"/>
        </w:rPr>
        <w:t>，</w:t>
      </w:r>
      <w:r>
        <w:rPr>
          <w:rFonts w:eastAsia="仿宋_GB2312"/>
          <w:sz w:val="22"/>
          <w:szCs w:val="22"/>
        </w:rPr>
        <w:t>不在人类受试者进行的生物医学研究。</w:t>
      </w:r>
    </w:p>
    <w:p>
      <w:pPr>
        <w:wordWrap w:val="0"/>
        <w:spacing w:line="560" w:lineRule="exact"/>
        <w:ind w:firstLine="640" w:firstLineChars="200"/>
        <w:rPr>
          <w:rFonts w:eastAsia="仿宋_GB2312"/>
          <w:sz w:val="22"/>
          <w:szCs w:val="22"/>
        </w:rPr>
      </w:pPr>
      <w:bookmarkStart w:id="390" w:name="_Toc441830759"/>
      <w:r>
        <w:rPr>
          <w:rFonts w:eastAsia="楷体_GB2312"/>
          <w:bCs/>
          <w:sz w:val="22"/>
          <w:szCs w:val="22"/>
        </w:rPr>
        <w:t>独立的数据监察委员会（Independent Data-Monitoring Committee, IDMC）（数据和安全监察委员会，监察委员会，数据监察委员会）（data and safety monitoring board, monitoring committee, data monitoring committee）</w:t>
      </w:r>
      <w:bookmarkEnd w:id="390"/>
      <w:r>
        <w:rPr>
          <w:rFonts w:eastAsia="楷体_GB2312"/>
          <w:bCs/>
          <w:sz w:val="22"/>
          <w:szCs w:val="22"/>
        </w:rPr>
        <w:t>，</w:t>
      </w:r>
      <w:r>
        <w:rPr>
          <w:rFonts w:eastAsia="仿宋_GB2312"/>
          <w:sz w:val="22"/>
          <w:szCs w:val="22"/>
        </w:rPr>
        <w:t>由申办者设立的独立的数据监察委员会。定期对临床试验的进展、安全性数据和有效性终点进行评估；向申办者建议是否继续、调整或停止试验。</w:t>
      </w:r>
    </w:p>
    <w:p>
      <w:pPr>
        <w:wordWrap w:val="0"/>
        <w:spacing w:line="560" w:lineRule="exact"/>
        <w:ind w:firstLine="640" w:firstLineChars="200"/>
        <w:rPr>
          <w:rFonts w:eastAsia="仿宋_GB2312"/>
          <w:sz w:val="22"/>
          <w:szCs w:val="22"/>
        </w:rPr>
      </w:pPr>
      <w:bookmarkStart w:id="391" w:name="_Toc441830761"/>
      <w:bookmarkStart w:id="392" w:name="_Toc441830760"/>
      <w:r>
        <w:rPr>
          <w:rFonts w:eastAsia="楷体_GB2312"/>
          <w:bCs/>
          <w:sz w:val="22"/>
          <w:szCs w:val="22"/>
        </w:rPr>
        <w:t>伦理委员会（Institutional Review Board IRB/ Independent Ethics Committee IEC）</w:t>
      </w:r>
      <w:bookmarkEnd w:id="391"/>
      <w:r>
        <w:rPr>
          <w:rFonts w:eastAsia="楷体_GB2312"/>
          <w:bCs/>
          <w:sz w:val="22"/>
          <w:szCs w:val="22"/>
        </w:rPr>
        <w:t>，</w:t>
      </w:r>
      <w:r>
        <w:rPr>
          <w:rFonts w:eastAsia="仿宋_GB2312"/>
          <w:sz w:val="22"/>
          <w:szCs w:val="22"/>
        </w:rPr>
        <w:t>由医学专业人员及非医学人员组成的独立组织，其职责为审查临床试验方案及相关文件是否合乎伦理准则，并为之提供公众保证，确保受试者的安全、健康和权益受到保护。伦理委员会的组成和一切活动不受临床试验组织和实施者的干扰或影响。</w:t>
      </w:r>
    </w:p>
    <w:bookmarkEnd w:id="392"/>
    <w:p>
      <w:pPr>
        <w:wordWrap w:val="0"/>
        <w:spacing w:line="560" w:lineRule="exact"/>
        <w:ind w:firstLine="640" w:firstLineChars="200"/>
        <w:rPr>
          <w:rFonts w:eastAsia="仿宋_GB2312"/>
          <w:sz w:val="22"/>
          <w:szCs w:val="22"/>
        </w:rPr>
      </w:pPr>
      <w:bookmarkStart w:id="393" w:name="_Toc441830764"/>
      <w:r>
        <w:rPr>
          <w:rFonts w:eastAsia="楷体_GB2312"/>
          <w:bCs/>
          <w:sz w:val="22"/>
          <w:szCs w:val="22"/>
        </w:rPr>
        <w:t>研究者（Investigator）</w:t>
      </w:r>
      <w:bookmarkEnd w:id="393"/>
      <w:r>
        <w:rPr>
          <w:rFonts w:eastAsia="楷体_GB2312"/>
          <w:bCs/>
          <w:sz w:val="22"/>
          <w:szCs w:val="22"/>
        </w:rPr>
        <w:t>，</w:t>
      </w:r>
      <w:r>
        <w:rPr>
          <w:rFonts w:eastAsia="仿宋_GB2312"/>
          <w:sz w:val="22"/>
          <w:szCs w:val="22"/>
        </w:rPr>
        <w:t>临床试验实施者，临床试验的实施可以由各级不同专业研究者组成的团队完成。所有参加临床试验的各中心（医疗机构）、现场的研究者及团队必须经过申办者的资格审查。</w:t>
      </w:r>
    </w:p>
    <w:p>
      <w:pPr>
        <w:wordWrap w:val="0"/>
        <w:spacing w:line="560" w:lineRule="exact"/>
        <w:ind w:firstLine="640" w:firstLineChars="200"/>
        <w:rPr>
          <w:rFonts w:eastAsia="仿宋_GB2312"/>
          <w:sz w:val="22"/>
          <w:szCs w:val="22"/>
        </w:rPr>
      </w:pPr>
      <w:r>
        <w:rPr>
          <w:rFonts w:eastAsia="楷体_GB2312"/>
          <w:bCs/>
          <w:sz w:val="22"/>
          <w:szCs w:val="22"/>
        </w:rPr>
        <w:t>主要研究者（Principal Investigator），</w:t>
      </w:r>
      <w:r>
        <w:rPr>
          <w:rFonts w:eastAsia="仿宋_GB2312"/>
          <w:sz w:val="22"/>
          <w:szCs w:val="22"/>
        </w:rPr>
        <w:t>参加临床试验的各中心（医疗机构）、试验现场的负责人。</w:t>
      </w:r>
    </w:p>
    <w:p>
      <w:pPr>
        <w:wordWrap w:val="0"/>
        <w:spacing w:line="560" w:lineRule="exact"/>
        <w:ind w:firstLine="640" w:firstLineChars="200"/>
        <w:rPr>
          <w:rFonts w:eastAsia="仿宋_GB2312"/>
          <w:sz w:val="22"/>
          <w:szCs w:val="22"/>
        </w:rPr>
      </w:pPr>
      <w:r>
        <w:rPr>
          <w:rFonts w:eastAsia="楷体_GB2312"/>
          <w:bCs/>
          <w:sz w:val="22"/>
          <w:szCs w:val="22"/>
        </w:rPr>
        <w:t>次要研究者（Subinvestigator），</w:t>
      </w:r>
      <w:r>
        <w:rPr>
          <w:rFonts w:eastAsia="仿宋_GB2312"/>
          <w:sz w:val="22"/>
          <w:szCs w:val="22"/>
        </w:rPr>
        <w:t>在主要研究者授权和监督下，在其试验现场履行与试验相关的重要程序和/或作出重大决定的研究者。</w:t>
      </w:r>
    </w:p>
    <w:p>
      <w:pPr>
        <w:wordWrap w:val="0"/>
        <w:spacing w:line="560" w:lineRule="exact"/>
        <w:ind w:firstLine="640" w:firstLineChars="200"/>
        <w:rPr>
          <w:rFonts w:eastAsia="仿宋_GB2312"/>
          <w:sz w:val="22"/>
          <w:szCs w:val="22"/>
        </w:rPr>
      </w:pPr>
      <w:bookmarkStart w:id="394" w:name="_Toc441830767"/>
      <w:r>
        <w:rPr>
          <w:rFonts w:eastAsia="楷体_GB2312"/>
          <w:bCs/>
          <w:sz w:val="22"/>
          <w:szCs w:val="22"/>
        </w:rPr>
        <w:t>申办者（Sponsor）</w:t>
      </w:r>
      <w:bookmarkEnd w:id="394"/>
      <w:r>
        <w:rPr>
          <w:rFonts w:eastAsia="楷体_GB2312"/>
          <w:bCs/>
          <w:sz w:val="22"/>
          <w:szCs w:val="22"/>
        </w:rPr>
        <w:t>，</w:t>
      </w:r>
      <w:r>
        <w:rPr>
          <w:rFonts w:eastAsia="仿宋_GB2312"/>
          <w:sz w:val="22"/>
          <w:szCs w:val="22"/>
        </w:rPr>
        <w:t>负责临床试验的发起、管理和提供临床试验经费的个人、组织或机构。</w:t>
      </w:r>
    </w:p>
    <w:p>
      <w:pPr>
        <w:wordWrap w:val="0"/>
        <w:spacing w:line="560" w:lineRule="exact"/>
        <w:ind w:firstLine="640" w:firstLineChars="200"/>
        <w:rPr>
          <w:rFonts w:eastAsia="仿宋_GB2312"/>
          <w:sz w:val="22"/>
          <w:szCs w:val="22"/>
        </w:rPr>
      </w:pPr>
      <w:bookmarkStart w:id="395" w:name="_Toc441830770"/>
      <w:r>
        <w:rPr>
          <w:rFonts w:eastAsia="楷体_GB2312"/>
          <w:bCs/>
          <w:sz w:val="22"/>
          <w:szCs w:val="22"/>
        </w:rPr>
        <w:t>合同研究组织（Contract Research Organization, CRO）</w:t>
      </w:r>
      <w:bookmarkEnd w:id="395"/>
      <w:r>
        <w:rPr>
          <w:rFonts w:eastAsia="楷体_GB2312"/>
          <w:bCs/>
          <w:sz w:val="22"/>
          <w:szCs w:val="22"/>
        </w:rPr>
        <w:t>，</w:t>
      </w:r>
      <w:r>
        <w:rPr>
          <w:rFonts w:eastAsia="仿宋_GB2312"/>
          <w:sz w:val="22"/>
          <w:szCs w:val="22"/>
        </w:rPr>
        <w:t>个人或组织与申办者签订合同，执行申办者在临床试验中的某些任务和工作。</w:t>
      </w:r>
    </w:p>
    <w:p>
      <w:pPr>
        <w:wordWrap w:val="0"/>
        <w:spacing w:line="560" w:lineRule="exact"/>
        <w:ind w:firstLine="640" w:firstLineChars="200"/>
        <w:rPr>
          <w:rFonts w:eastAsia="仿宋_GB2312"/>
          <w:sz w:val="22"/>
          <w:szCs w:val="22"/>
        </w:rPr>
      </w:pPr>
      <w:bookmarkStart w:id="396" w:name="_Toc441830771"/>
      <w:r>
        <w:rPr>
          <w:rFonts w:eastAsia="楷体_GB2312"/>
          <w:bCs/>
          <w:sz w:val="22"/>
          <w:szCs w:val="22"/>
        </w:rPr>
        <w:t>临床试验受试者（受试者）（Subject/trial subject）</w:t>
      </w:r>
      <w:bookmarkEnd w:id="396"/>
      <w:r>
        <w:rPr>
          <w:rFonts w:eastAsia="楷体_GB2312"/>
          <w:bCs/>
          <w:sz w:val="22"/>
          <w:szCs w:val="22"/>
        </w:rPr>
        <w:t>，</w:t>
      </w:r>
      <w:r>
        <w:rPr>
          <w:rFonts w:eastAsia="仿宋_GB2312"/>
          <w:sz w:val="22"/>
          <w:szCs w:val="22"/>
        </w:rPr>
        <w:t>自愿参加一项临床试验，并作为试验用药品的接受者或作为试验对照的个人，包括健康志愿者、病人。</w:t>
      </w:r>
    </w:p>
    <w:p>
      <w:pPr>
        <w:wordWrap w:val="0"/>
        <w:spacing w:line="560" w:lineRule="exact"/>
        <w:ind w:firstLine="640" w:firstLineChars="200"/>
        <w:rPr>
          <w:rFonts w:eastAsia="仿宋_GB2312"/>
          <w:sz w:val="22"/>
          <w:szCs w:val="22"/>
        </w:rPr>
      </w:pPr>
      <w:bookmarkStart w:id="397" w:name="_Toc441830772"/>
      <w:r>
        <w:rPr>
          <w:rFonts w:eastAsia="楷体_GB2312"/>
          <w:bCs/>
          <w:sz w:val="22"/>
          <w:szCs w:val="22"/>
        </w:rPr>
        <w:t>受试者的权益（Well-being of the trial subjects）</w:t>
      </w:r>
      <w:bookmarkEnd w:id="397"/>
      <w:r>
        <w:rPr>
          <w:rFonts w:eastAsia="楷体_GB2312"/>
          <w:bCs/>
          <w:sz w:val="22"/>
          <w:szCs w:val="22"/>
        </w:rPr>
        <w:t>，</w:t>
      </w:r>
      <w:r>
        <w:rPr>
          <w:rFonts w:eastAsia="仿宋_GB2312"/>
          <w:sz w:val="22"/>
          <w:szCs w:val="22"/>
        </w:rPr>
        <w:t>指参加临床试验受试者的身体和心理上应享有的尊严。</w:t>
      </w:r>
    </w:p>
    <w:p>
      <w:pPr>
        <w:wordWrap w:val="0"/>
        <w:spacing w:line="560" w:lineRule="exact"/>
        <w:ind w:firstLine="640" w:firstLineChars="200"/>
        <w:rPr>
          <w:rFonts w:eastAsia="仿宋_GB2312"/>
          <w:sz w:val="22"/>
          <w:szCs w:val="22"/>
        </w:rPr>
      </w:pPr>
      <w:bookmarkStart w:id="398" w:name="_Toc441830773"/>
      <w:r>
        <w:rPr>
          <w:rFonts w:eastAsia="楷体_GB2312"/>
          <w:bCs/>
          <w:sz w:val="22"/>
          <w:szCs w:val="22"/>
        </w:rPr>
        <w:t>弱势受试者（Vulnerable subjects）</w:t>
      </w:r>
      <w:bookmarkEnd w:id="398"/>
      <w:r>
        <w:rPr>
          <w:rFonts w:eastAsia="楷体_GB2312"/>
          <w:bCs/>
          <w:sz w:val="22"/>
          <w:szCs w:val="22"/>
        </w:rPr>
        <w:t>，</w:t>
      </w:r>
      <w:r>
        <w:rPr>
          <w:rFonts w:eastAsia="仿宋_GB2312"/>
          <w:sz w:val="22"/>
          <w:szCs w:val="22"/>
        </w:rPr>
        <w:t>是指丧失或缺乏能力维护自身权利和利益自愿参加临床试验的受试者。</w:t>
      </w:r>
    </w:p>
    <w:p>
      <w:pPr>
        <w:wordWrap w:val="0"/>
        <w:spacing w:line="560" w:lineRule="exact"/>
        <w:ind w:firstLine="640" w:firstLineChars="200"/>
        <w:rPr>
          <w:rFonts w:eastAsia="仿宋_GB2312"/>
          <w:sz w:val="22"/>
          <w:szCs w:val="22"/>
        </w:rPr>
      </w:pPr>
      <w:r>
        <w:rPr>
          <w:rFonts w:eastAsia="仿宋_GB2312"/>
          <w:sz w:val="22"/>
          <w:szCs w:val="22"/>
        </w:rPr>
        <w:t>弱势受试者还包括无药可救疾病的病人、处于危急状况的病人，住在福利院的人、失业者或穷人、少数民族、无家可归者、流浪者、难民、囚犯、孕妇和胎儿、未成年者和无能力知情同意的人(如精神病患者或智力低下者)。</w:t>
      </w:r>
    </w:p>
    <w:p>
      <w:pPr>
        <w:wordWrap w:val="0"/>
        <w:spacing w:line="560" w:lineRule="exact"/>
        <w:ind w:firstLine="640" w:firstLineChars="200"/>
        <w:rPr>
          <w:rFonts w:eastAsia="仿宋_GB2312"/>
          <w:sz w:val="22"/>
          <w:szCs w:val="22"/>
        </w:rPr>
      </w:pPr>
      <w:bookmarkStart w:id="399" w:name="_Toc441830787"/>
      <w:bookmarkStart w:id="400" w:name="_Toc441830774"/>
      <w:r>
        <w:rPr>
          <w:rFonts w:eastAsia="楷体_GB2312"/>
          <w:bCs/>
          <w:sz w:val="22"/>
          <w:szCs w:val="22"/>
        </w:rPr>
        <w:t>知情同意（Informed consent）</w:t>
      </w:r>
      <w:bookmarkEnd w:id="399"/>
      <w:r>
        <w:rPr>
          <w:rFonts w:eastAsia="楷体_GB2312"/>
          <w:bCs/>
          <w:sz w:val="22"/>
          <w:szCs w:val="22"/>
        </w:rPr>
        <w:t>，</w:t>
      </w:r>
      <w:r>
        <w:rPr>
          <w:rFonts w:eastAsia="仿宋_GB2312"/>
          <w:sz w:val="22"/>
          <w:szCs w:val="22"/>
        </w:rPr>
        <w:t>指向受试者告知一项临床试验的各方面情况后，受试者自愿确认其同意参加该项临床试验的过程。该过程须以书面的、签名和注明日期的知情同意书作为文件证明。</w:t>
      </w:r>
    </w:p>
    <w:p>
      <w:pPr>
        <w:wordWrap w:val="0"/>
        <w:spacing w:line="560" w:lineRule="exact"/>
        <w:ind w:firstLine="640" w:firstLineChars="200"/>
        <w:rPr>
          <w:rFonts w:eastAsia="仿宋_GB2312"/>
          <w:sz w:val="22"/>
          <w:szCs w:val="22"/>
        </w:rPr>
      </w:pPr>
      <w:r>
        <w:rPr>
          <w:rFonts w:eastAsia="楷体_GB2312"/>
          <w:bCs/>
          <w:sz w:val="22"/>
          <w:szCs w:val="22"/>
        </w:rPr>
        <w:t>法定代理人（Legally acceptable representative）</w:t>
      </w:r>
      <w:bookmarkEnd w:id="400"/>
      <w:r>
        <w:rPr>
          <w:rFonts w:eastAsia="楷体_GB2312"/>
          <w:bCs/>
          <w:sz w:val="22"/>
          <w:szCs w:val="22"/>
        </w:rPr>
        <w:t>，</w:t>
      </w:r>
      <w:r>
        <w:rPr>
          <w:rFonts w:eastAsia="仿宋_GB2312"/>
          <w:sz w:val="22"/>
          <w:szCs w:val="22"/>
        </w:rPr>
        <w:t>是指依照</w:t>
      </w:r>
      <w:r>
        <w:rPr>
          <w:sz w:val="22"/>
          <w:szCs w:val="22"/>
        </w:rPr>
        <w:fldChar w:fldCharType="begin"/>
      </w:r>
      <w:r>
        <w:rPr>
          <w:sz w:val="22"/>
          <w:szCs w:val="22"/>
        </w:rPr>
        <w:instrText xml:space="preserve"> HYPERLINK "http://baike.haosou.com/doc/1296429.html" \t "_blank" </w:instrText>
      </w:r>
      <w:r>
        <w:rPr>
          <w:sz w:val="22"/>
          <w:szCs w:val="22"/>
        </w:rPr>
        <w:fldChar w:fldCharType="separate"/>
      </w:r>
      <w:r>
        <w:rPr>
          <w:rFonts w:eastAsia="仿宋_GB2312"/>
          <w:sz w:val="22"/>
          <w:szCs w:val="22"/>
        </w:rPr>
        <w:t>法律</w:t>
      </w:r>
      <w:r>
        <w:rPr>
          <w:rFonts w:eastAsia="仿宋_GB2312"/>
          <w:sz w:val="22"/>
          <w:szCs w:val="22"/>
        </w:rPr>
        <w:fldChar w:fldCharType="end"/>
      </w:r>
      <w:r>
        <w:rPr>
          <w:rFonts w:eastAsia="仿宋_GB2312"/>
          <w:sz w:val="22"/>
          <w:szCs w:val="22"/>
        </w:rPr>
        <w:t>规定，被授权可代表受试者同意参加临床试验，对受试者的人身权益进行</w:t>
      </w:r>
      <w:r>
        <w:rPr>
          <w:sz w:val="22"/>
          <w:szCs w:val="22"/>
        </w:rPr>
        <w:fldChar w:fldCharType="begin"/>
      </w:r>
      <w:r>
        <w:rPr>
          <w:sz w:val="22"/>
          <w:szCs w:val="22"/>
        </w:rPr>
        <w:instrText xml:space="preserve"> HYPERLINK "http://baike.haosou.com/doc/1125915.html" \t "_blank" </w:instrText>
      </w:r>
      <w:r>
        <w:rPr>
          <w:sz w:val="22"/>
          <w:szCs w:val="22"/>
        </w:rPr>
        <w:fldChar w:fldCharType="separate"/>
      </w:r>
      <w:r>
        <w:rPr>
          <w:rFonts w:eastAsia="仿宋_GB2312"/>
          <w:sz w:val="22"/>
          <w:szCs w:val="22"/>
        </w:rPr>
        <w:t>监督</w:t>
      </w:r>
      <w:r>
        <w:rPr>
          <w:rFonts w:eastAsia="仿宋_GB2312"/>
          <w:sz w:val="22"/>
          <w:szCs w:val="22"/>
        </w:rPr>
        <w:fldChar w:fldCharType="end"/>
      </w:r>
      <w:r>
        <w:rPr>
          <w:rFonts w:eastAsia="仿宋_GB2312"/>
          <w:sz w:val="22"/>
          <w:szCs w:val="22"/>
        </w:rPr>
        <w:t>和保护的个人。</w:t>
      </w:r>
    </w:p>
    <w:p>
      <w:pPr>
        <w:wordWrap w:val="0"/>
        <w:spacing w:line="560" w:lineRule="exact"/>
        <w:ind w:firstLine="640" w:firstLineChars="200"/>
        <w:rPr>
          <w:rFonts w:eastAsia="仿宋_GB2312"/>
          <w:sz w:val="22"/>
          <w:szCs w:val="22"/>
        </w:rPr>
      </w:pPr>
      <w:bookmarkStart w:id="401" w:name="_Toc441830775"/>
      <w:r>
        <w:rPr>
          <w:rFonts w:eastAsia="楷体_GB2312"/>
          <w:bCs/>
          <w:sz w:val="22"/>
          <w:szCs w:val="22"/>
        </w:rPr>
        <w:t>公正的见证人（Impartial witness）</w:t>
      </w:r>
      <w:bookmarkEnd w:id="401"/>
      <w:r>
        <w:rPr>
          <w:rFonts w:eastAsia="楷体_GB2312"/>
          <w:bCs/>
          <w:sz w:val="22"/>
          <w:szCs w:val="22"/>
        </w:rPr>
        <w:t>，</w:t>
      </w:r>
      <w:r>
        <w:rPr>
          <w:rFonts w:eastAsia="仿宋_GB2312"/>
          <w:sz w:val="22"/>
          <w:szCs w:val="22"/>
        </w:rPr>
        <w:t>如果临床试验的受试者或其法定代理人无阅读能力，可以由与此试验无关的人员作为公正的见证人，参与受试者的知情同意过程，向受试者阅读提供给他们的知情同意书和其他书面资料。</w:t>
      </w:r>
    </w:p>
    <w:p>
      <w:pPr>
        <w:wordWrap w:val="0"/>
        <w:spacing w:line="560" w:lineRule="exact"/>
        <w:ind w:firstLine="640" w:firstLineChars="200"/>
        <w:rPr>
          <w:rFonts w:eastAsia="仿宋_GB2312"/>
          <w:sz w:val="22"/>
          <w:szCs w:val="22"/>
        </w:rPr>
      </w:pPr>
      <w:bookmarkStart w:id="402" w:name="_Toc441830776"/>
      <w:r>
        <w:rPr>
          <w:rFonts w:eastAsia="楷体_GB2312"/>
          <w:bCs/>
          <w:sz w:val="22"/>
          <w:szCs w:val="22"/>
        </w:rPr>
        <w:t>监查（Monitoring）</w:t>
      </w:r>
      <w:bookmarkEnd w:id="402"/>
      <w:r>
        <w:rPr>
          <w:rFonts w:eastAsia="楷体_GB2312"/>
          <w:bCs/>
          <w:sz w:val="22"/>
          <w:szCs w:val="22"/>
        </w:rPr>
        <w:t>，</w:t>
      </w:r>
      <w:r>
        <w:rPr>
          <w:rFonts w:eastAsia="仿宋_GB2312"/>
          <w:sz w:val="22"/>
          <w:szCs w:val="22"/>
        </w:rPr>
        <w:t>监督审查临床试验进展和过程，保证临床试验按照试验方案、标准操作规程（SOP）、药物临床试验质量管理规范（GCP）和相关法律法规要求实施、记录和报告。</w:t>
      </w:r>
    </w:p>
    <w:p>
      <w:pPr>
        <w:wordWrap w:val="0"/>
        <w:spacing w:line="560" w:lineRule="exact"/>
        <w:ind w:firstLine="640" w:firstLineChars="200"/>
        <w:rPr>
          <w:rFonts w:eastAsia="仿宋_GB2312"/>
          <w:spacing w:val="4"/>
          <w:sz w:val="22"/>
          <w:szCs w:val="22"/>
        </w:rPr>
      </w:pPr>
      <w:bookmarkStart w:id="403" w:name="_Toc441830779"/>
      <w:r>
        <w:rPr>
          <w:rFonts w:eastAsia="楷体_GB2312"/>
          <w:bCs/>
          <w:sz w:val="22"/>
          <w:szCs w:val="22"/>
        </w:rPr>
        <w:t>稽查（Audit）</w:t>
      </w:r>
      <w:bookmarkEnd w:id="403"/>
      <w:r>
        <w:rPr>
          <w:rFonts w:eastAsia="楷体_GB2312"/>
          <w:bCs/>
          <w:sz w:val="22"/>
          <w:szCs w:val="22"/>
        </w:rPr>
        <w:t>，</w:t>
      </w:r>
      <w:r>
        <w:rPr>
          <w:rFonts w:eastAsia="仿宋_GB2312"/>
          <w:sz w:val="22"/>
          <w:szCs w:val="22"/>
        </w:rPr>
        <w:t>指</w:t>
      </w:r>
      <w:r>
        <w:rPr>
          <w:rFonts w:hint="eastAsia" w:eastAsia="仿宋_GB2312"/>
          <w:spacing w:val="4"/>
          <w:sz w:val="22"/>
          <w:szCs w:val="22"/>
        </w:rPr>
        <w:t>对临床试验的所有行为和相关文件进行系统的、独立的核查工作。以判定试验的实施过程和试验数据的记录、分析与报告是否与试验方案、标准操作规程（</w:t>
      </w:r>
      <w:r>
        <w:rPr>
          <w:rFonts w:eastAsia="仿宋_GB2312"/>
          <w:spacing w:val="4"/>
          <w:sz w:val="22"/>
          <w:szCs w:val="22"/>
        </w:rPr>
        <w:t>SOP</w:t>
      </w:r>
      <w:r>
        <w:rPr>
          <w:rFonts w:hint="eastAsia" w:eastAsia="仿宋_GB2312"/>
          <w:spacing w:val="4"/>
          <w:sz w:val="22"/>
          <w:szCs w:val="22"/>
        </w:rPr>
        <w:t>）、药物临床试验质量管理规范（</w:t>
      </w:r>
      <w:r>
        <w:rPr>
          <w:rFonts w:eastAsia="仿宋_GB2312"/>
          <w:spacing w:val="4"/>
          <w:sz w:val="22"/>
          <w:szCs w:val="22"/>
        </w:rPr>
        <w:t>GCP</w:t>
      </w:r>
      <w:r>
        <w:rPr>
          <w:rFonts w:hint="eastAsia" w:eastAsia="仿宋_GB2312"/>
          <w:spacing w:val="4"/>
          <w:sz w:val="22"/>
          <w:szCs w:val="22"/>
        </w:rPr>
        <w:t>）以及现行的相关法律法规的要求相符。</w:t>
      </w:r>
    </w:p>
    <w:p>
      <w:pPr>
        <w:wordWrap w:val="0"/>
        <w:spacing w:line="560" w:lineRule="exact"/>
        <w:ind w:firstLine="640" w:firstLineChars="200"/>
        <w:rPr>
          <w:rFonts w:eastAsia="仿宋_GB2312"/>
          <w:sz w:val="22"/>
          <w:szCs w:val="22"/>
        </w:rPr>
      </w:pPr>
      <w:bookmarkStart w:id="404" w:name="_Toc441830783"/>
      <w:r>
        <w:rPr>
          <w:rFonts w:eastAsia="楷体_GB2312"/>
          <w:bCs/>
          <w:sz w:val="22"/>
          <w:szCs w:val="22"/>
        </w:rPr>
        <w:t>检查（Inspection）</w:t>
      </w:r>
      <w:bookmarkEnd w:id="404"/>
      <w:r>
        <w:rPr>
          <w:rFonts w:eastAsia="楷体_GB2312"/>
          <w:bCs/>
          <w:sz w:val="22"/>
          <w:szCs w:val="22"/>
        </w:rPr>
        <w:t>，</w:t>
      </w:r>
      <w:r>
        <w:rPr>
          <w:rFonts w:eastAsia="仿宋_GB2312"/>
          <w:sz w:val="22"/>
          <w:szCs w:val="22"/>
        </w:rPr>
        <w:t>药品监督管理部门对临床试验的有关文件、设备、记录和其他方面进行官方审阅，检查可以在试验单位、申办者所在地或合同研究组织所在地进行。</w:t>
      </w:r>
    </w:p>
    <w:p>
      <w:pPr>
        <w:wordWrap w:val="0"/>
        <w:spacing w:line="560" w:lineRule="exact"/>
        <w:ind w:firstLine="640" w:firstLineChars="200"/>
        <w:rPr>
          <w:rFonts w:eastAsia="仿宋_GB2312"/>
          <w:sz w:val="22"/>
          <w:szCs w:val="22"/>
        </w:rPr>
      </w:pPr>
      <w:bookmarkStart w:id="405" w:name="_Toc441830816"/>
      <w:bookmarkStart w:id="406" w:name="_Toc441830784"/>
      <w:r>
        <w:rPr>
          <w:rFonts w:eastAsia="楷体_GB2312"/>
          <w:bCs/>
          <w:sz w:val="22"/>
          <w:szCs w:val="22"/>
        </w:rPr>
        <w:t>直接查阅（Direct access）</w:t>
      </w:r>
      <w:bookmarkEnd w:id="405"/>
      <w:r>
        <w:rPr>
          <w:rFonts w:eastAsia="楷体_GB2312"/>
          <w:bCs/>
          <w:sz w:val="22"/>
          <w:szCs w:val="22"/>
        </w:rPr>
        <w:t>，</w:t>
      </w:r>
      <w:r>
        <w:rPr>
          <w:rFonts w:eastAsia="仿宋_GB2312"/>
          <w:sz w:val="22"/>
          <w:szCs w:val="22"/>
        </w:rPr>
        <w:t>具有直接查阅药物临床试验记录和报告的权限，如国内外的药品监督管理部门、申办方的监查员和稽查员。各方应按照法律法规要求；采取一切合理的措施保护受试者隐私，避免泄露申办者信息。</w:t>
      </w:r>
    </w:p>
    <w:p>
      <w:pPr>
        <w:wordWrap w:val="0"/>
        <w:spacing w:line="560" w:lineRule="exact"/>
        <w:ind w:firstLine="640" w:firstLineChars="200"/>
        <w:rPr>
          <w:rFonts w:eastAsia="仿宋_GB2312"/>
          <w:sz w:val="22"/>
          <w:szCs w:val="22"/>
        </w:rPr>
      </w:pPr>
      <w:r>
        <w:rPr>
          <w:rFonts w:eastAsia="楷体_GB2312"/>
          <w:bCs/>
          <w:sz w:val="22"/>
          <w:szCs w:val="22"/>
        </w:rPr>
        <w:t>临床试验方案（Protocol）</w:t>
      </w:r>
      <w:bookmarkEnd w:id="406"/>
      <w:r>
        <w:rPr>
          <w:rFonts w:eastAsia="楷体_GB2312"/>
          <w:bCs/>
          <w:sz w:val="22"/>
          <w:szCs w:val="22"/>
        </w:rPr>
        <w:t>，</w:t>
      </w:r>
      <w:r>
        <w:rPr>
          <w:rFonts w:eastAsia="仿宋_GB2312"/>
          <w:sz w:val="22"/>
          <w:szCs w:val="22"/>
        </w:rPr>
        <w:t>阐明试验目的、设计、方法学、统计学考虑和组织实施的文件。试验方案必须包括试验的背景和理论基础，该内容也可以写在与试验方案有关的其他参考文件中。包括“临床试验方案和方案修改”。</w:t>
      </w:r>
    </w:p>
    <w:p>
      <w:pPr>
        <w:wordWrap w:val="0"/>
        <w:spacing w:line="560" w:lineRule="exact"/>
        <w:ind w:firstLine="640" w:firstLineChars="200"/>
        <w:rPr>
          <w:rFonts w:eastAsia="仿宋_GB2312"/>
          <w:sz w:val="22"/>
          <w:szCs w:val="22"/>
        </w:rPr>
      </w:pPr>
      <w:bookmarkStart w:id="407" w:name="_Toc441830785"/>
      <w:r>
        <w:rPr>
          <w:rFonts w:eastAsia="楷体_GB2312"/>
          <w:bCs/>
          <w:sz w:val="22"/>
          <w:szCs w:val="22"/>
        </w:rPr>
        <w:t>临床试验方案的修改（Protocol amendment）</w:t>
      </w:r>
      <w:bookmarkEnd w:id="407"/>
      <w:r>
        <w:rPr>
          <w:rFonts w:eastAsia="楷体_GB2312"/>
          <w:bCs/>
          <w:sz w:val="22"/>
          <w:szCs w:val="22"/>
        </w:rPr>
        <w:t>，</w:t>
      </w:r>
      <w:r>
        <w:rPr>
          <w:rFonts w:eastAsia="仿宋_GB2312"/>
          <w:sz w:val="22"/>
          <w:szCs w:val="22"/>
        </w:rPr>
        <w:t>修改临床试验方案必须以书面文件的形式呈现，详见“临床试验方案的制定和修正”。</w:t>
      </w:r>
    </w:p>
    <w:p>
      <w:pPr>
        <w:wordWrap w:val="0"/>
        <w:spacing w:line="560" w:lineRule="exact"/>
        <w:ind w:firstLine="640" w:firstLineChars="200"/>
        <w:rPr>
          <w:rFonts w:eastAsia="仿宋_GB2312"/>
          <w:sz w:val="22"/>
          <w:szCs w:val="22"/>
        </w:rPr>
      </w:pPr>
      <w:bookmarkStart w:id="408" w:name="_Toc441830786"/>
      <w:r>
        <w:rPr>
          <w:rFonts w:eastAsia="楷体_GB2312"/>
          <w:bCs/>
          <w:sz w:val="22"/>
          <w:szCs w:val="22"/>
        </w:rPr>
        <w:t>研究者手册（Investigator's brochure）</w:t>
      </w:r>
      <w:bookmarkEnd w:id="408"/>
      <w:r>
        <w:rPr>
          <w:rFonts w:eastAsia="楷体_GB2312"/>
          <w:bCs/>
          <w:sz w:val="22"/>
          <w:szCs w:val="22"/>
        </w:rPr>
        <w:t>，</w:t>
      </w:r>
      <w:r>
        <w:rPr>
          <w:rFonts w:eastAsia="仿宋_GB2312"/>
          <w:sz w:val="22"/>
          <w:szCs w:val="22"/>
        </w:rPr>
        <w:t>是有关试验药物在进行人体试验时已有的临床和非临床研究资料，见研究者手册。</w:t>
      </w:r>
    </w:p>
    <w:p>
      <w:pPr>
        <w:wordWrap w:val="0"/>
        <w:spacing w:line="560" w:lineRule="exact"/>
        <w:ind w:firstLine="640" w:firstLineChars="200"/>
        <w:rPr>
          <w:rFonts w:eastAsia="仿宋_GB2312"/>
          <w:sz w:val="22"/>
          <w:szCs w:val="22"/>
        </w:rPr>
      </w:pPr>
      <w:bookmarkStart w:id="409" w:name="_Toc441830788"/>
      <w:r>
        <w:rPr>
          <w:rFonts w:eastAsia="楷体_GB2312"/>
          <w:bCs/>
          <w:sz w:val="22"/>
          <w:szCs w:val="22"/>
        </w:rPr>
        <w:t>病例报告表（Case Report Form, CRF</w:t>
      </w:r>
      <w:bookmarkEnd w:id="409"/>
      <w:r>
        <w:rPr>
          <w:rFonts w:eastAsia="楷体_GB2312"/>
          <w:bCs/>
          <w:sz w:val="22"/>
          <w:szCs w:val="22"/>
        </w:rPr>
        <w:t>），</w:t>
      </w:r>
      <w:r>
        <w:rPr>
          <w:rFonts w:eastAsia="仿宋_GB2312"/>
          <w:sz w:val="22"/>
          <w:szCs w:val="22"/>
        </w:rPr>
        <w:t>向申办者报告的、按照试验方案要求设计的一种印刷的、光学的或电子的文件，用于记录每一名受试者在试验过程中的全部信息。</w:t>
      </w:r>
    </w:p>
    <w:p>
      <w:pPr>
        <w:wordWrap w:val="0"/>
        <w:spacing w:line="560" w:lineRule="exact"/>
        <w:ind w:firstLine="640" w:firstLineChars="200"/>
        <w:rPr>
          <w:rFonts w:eastAsia="仿宋_GB2312"/>
          <w:sz w:val="22"/>
          <w:szCs w:val="22"/>
        </w:rPr>
      </w:pPr>
      <w:bookmarkStart w:id="410" w:name="_Toc441830789"/>
      <w:r>
        <w:rPr>
          <w:rFonts w:eastAsia="楷体_GB2312"/>
          <w:bCs/>
          <w:sz w:val="22"/>
          <w:szCs w:val="22"/>
        </w:rPr>
        <w:t>标准操作规程（Standard Operating Procedures, SOP）</w:t>
      </w:r>
      <w:bookmarkEnd w:id="410"/>
      <w:r>
        <w:rPr>
          <w:rFonts w:eastAsia="楷体_GB2312"/>
          <w:bCs/>
          <w:sz w:val="22"/>
          <w:szCs w:val="22"/>
        </w:rPr>
        <w:t>，</w:t>
      </w:r>
      <w:r>
        <w:rPr>
          <w:rFonts w:eastAsia="仿宋_GB2312"/>
          <w:sz w:val="22"/>
          <w:szCs w:val="22"/>
        </w:rPr>
        <w:t>为达到均一性完成临床试验中的一个特定工作职责，制定该项特定工作统一的、详细的、标准的操作步骤。</w:t>
      </w:r>
    </w:p>
    <w:p>
      <w:pPr>
        <w:wordWrap w:val="0"/>
        <w:spacing w:line="560" w:lineRule="exact"/>
        <w:ind w:firstLine="640" w:firstLineChars="200"/>
        <w:rPr>
          <w:rFonts w:eastAsia="仿宋_GB2312"/>
          <w:sz w:val="22"/>
          <w:szCs w:val="22"/>
        </w:rPr>
      </w:pPr>
      <w:bookmarkStart w:id="411" w:name="_Toc441830790"/>
      <w:r>
        <w:rPr>
          <w:rFonts w:eastAsia="楷体_GB2312"/>
          <w:bCs/>
          <w:sz w:val="22"/>
          <w:szCs w:val="22"/>
        </w:rPr>
        <w:t>临床试验/研究报告（Clinical trial/study report）</w:t>
      </w:r>
      <w:bookmarkEnd w:id="411"/>
      <w:r>
        <w:rPr>
          <w:rFonts w:eastAsia="楷体_GB2312"/>
          <w:bCs/>
          <w:sz w:val="22"/>
          <w:szCs w:val="22"/>
        </w:rPr>
        <w:t>，</w:t>
      </w:r>
      <w:r>
        <w:rPr>
          <w:rFonts w:eastAsia="仿宋_GB2312"/>
          <w:sz w:val="22"/>
          <w:szCs w:val="22"/>
        </w:rPr>
        <w:t>以人类（病人或健康志愿者）为对象进行的任何治疗、预防、或诊断试剂的药物临床试验、药物临床研究，均要写出详细的书面报告。报告中要完整的陈述临床试验、数据统计的结果和分析。</w:t>
      </w:r>
    </w:p>
    <w:p>
      <w:pPr>
        <w:wordWrap w:val="0"/>
        <w:spacing w:line="560" w:lineRule="exact"/>
        <w:ind w:firstLine="640" w:firstLineChars="200"/>
        <w:rPr>
          <w:rFonts w:eastAsia="仿宋_GB2312"/>
          <w:sz w:val="22"/>
          <w:szCs w:val="22"/>
        </w:rPr>
      </w:pPr>
      <w:bookmarkStart w:id="412" w:name="_Toc441830791"/>
      <w:r>
        <w:rPr>
          <w:rFonts w:eastAsia="楷体_GB2312"/>
          <w:bCs/>
          <w:sz w:val="22"/>
          <w:szCs w:val="22"/>
        </w:rPr>
        <w:t>临床试验/研究中期报告（Interim clinical trial/study report）</w:t>
      </w:r>
      <w:bookmarkEnd w:id="412"/>
      <w:r>
        <w:rPr>
          <w:rFonts w:eastAsia="楷体_GB2312"/>
          <w:bCs/>
          <w:sz w:val="22"/>
          <w:szCs w:val="22"/>
        </w:rPr>
        <w:t>，</w:t>
      </w:r>
      <w:r>
        <w:rPr>
          <w:rFonts w:eastAsia="仿宋_GB2312"/>
          <w:sz w:val="22"/>
          <w:szCs w:val="22"/>
        </w:rPr>
        <w:t>指正式完成临床试验前，按事先制定的统计分析计划，比较临床试验处理组间的有效性和安全性所做的分析，写出的中期结果和评价的报告。</w:t>
      </w:r>
    </w:p>
    <w:p>
      <w:pPr>
        <w:wordWrap w:val="0"/>
        <w:spacing w:line="560" w:lineRule="exact"/>
        <w:ind w:firstLine="640" w:firstLineChars="200"/>
        <w:rPr>
          <w:rFonts w:eastAsia="仿宋_GB2312"/>
          <w:sz w:val="22"/>
          <w:szCs w:val="22"/>
        </w:rPr>
      </w:pPr>
      <w:bookmarkStart w:id="413" w:name="_Toc441830792"/>
      <w:r>
        <w:rPr>
          <w:rFonts w:eastAsia="楷体_GB2312"/>
          <w:bCs/>
          <w:sz w:val="22"/>
          <w:szCs w:val="22"/>
        </w:rPr>
        <w:t>试验用药品（Investigational product）</w:t>
      </w:r>
      <w:bookmarkEnd w:id="413"/>
      <w:r>
        <w:rPr>
          <w:rFonts w:eastAsia="楷体_GB2312"/>
          <w:bCs/>
          <w:sz w:val="22"/>
          <w:szCs w:val="22"/>
        </w:rPr>
        <w:t>，</w:t>
      </w:r>
      <w:r>
        <w:rPr>
          <w:rFonts w:eastAsia="仿宋_GB2312"/>
          <w:sz w:val="22"/>
          <w:szCs w:val="22"/>
        </w:rPr>
        <w:t>用于临床试验中试验药物、对照药物和安慰剂。</w:t>
      </w:r>
    </w:p>
    <w:p>
      <w:pPr>
        <w:wordWrap w:val="0"/>
        <w:spacing w:line="560" w:lineRule="exact"/>
        <w:ind w:firstLine="640" w:firstLineChars="200"/>
        <w:rPr>
          <w:rFonts w:eastAsia="仿宋_GB2312"/>
          <w:sz w:val="22"/>
          <w:szCs w:val="22"/>
        </w:rPr>
      </w:pPr>
      <w:bookmarkStart w:id="414" w:name="_Toc441830793"/>
      <w:r>
        <w:rPr>
          <w:rFonts w:eastAsia="楷体_GB2312"/>
          <w:bCs/>
          <w:sz w:val="22"/>
          <w:szCs w:val="22"/>
        </w:rPr>
        <w:t>试验对照药物（Comparator）</w:t>
      </w:r>
      <w:bookmarkEnd w:id="414"/>
      <w:r>
        <w:rPr>
          <w:rFonts w:eastAsia="楷体_GB2312"/>
          <w:bCs/>
          <w:sz w:val="22"/>
          <w:szCs w:val="22"/>
        </w:rPr>
        <w:t>，</w:t>
      </w:r>
      <w:r>
        <w:rPr>
          <w:rFonts w:eastAsia="仿宋_GB2312"/>
          <w:sz w:val="22"/>
          <w:szCs w:val="22"/>
        </w:rPr>
        <w:t>临床试验中用于比较试验药物的研究药物、已被批准上市的药品和安慰剂。</w:t>
      </w:r>
      <w:bookmarkStart w:id="415" w:name="_Toc441830794"/>
    </w:p>
    <w:p>
      <w:pPr>
        <w:wordWrap w:val="0"/>
        <w:spacing w:line="560" w:lineRule="exact"/>
        <w:ind w:firstLine="640" w:firstLineChars="200"/>
        <w:rPr>
          <w:rFonts w:eastAsia="仿宋_GB2312"/>
          <w:sz w:val="22"/>
          <w:szCs w:val="22"/>
        </w:rPr>
      </w:pPr>
      <w:r>
        <w:rPr>
          <w:rFonts w:eastAsia="楷体_GB2312"/>
          <w:bCs/>
          <w:sz w:val="22"/>
          <w:szCs w:val="22"/>
        </w:rPr>
        <w:t>安慰剂（Placebo），</w:t>
      </w:r>
      <w:r>
        <w:rPr>
          <w:rFonts w:eastAsia="仿宋_GB2312"/>
          <w:sz w:val="22"/>
          <w:szCs w:val="22"/>
        </w:rPr>
        <w:t>由无药效、无毒副作用的物质组成，如葡萄糖、淀粉等。其物理特性如外观、</w:t>
      </w:r>
      <w:r>
        <w:rPr>
          <w:sz w:val="22"/>
          <w:szCs w:val="22"/>
        </w:rPr>
        <w:fldChar w:fldCharType="begin"/>
      </w:r>
      <w:r>
        <w:rPr>
          <w:sz w:val="22"/>
          <w:szCs w:val="22"/>
        </w:rPr>
        <w:instrText xml:space="preserve"> HYPERLINK "http://baike.haosou.com/doc/4050846-4249004.html" \t "_blank" </w:instrText>
      </w:r>
      <w:r>
        <w:rPr>
          <w:sz w:val="22"/>
          <w:szCs w:val="22"/>
        </w:rPr>
        <w:fldChar w:fldCharType="separate"/>
      </w:r>
      <w:r>
        <w:rPr>
          <w:rFonts w:eastAsia="仿宋_GB2312"/>
          <w:sz w:val="22"/>
          <w:szCs w:val="22"/>
        </w:rPr>
        <w:t>大小</w:t>
      </w:r>
      <w:r>
        <w:rPr>
          <w:rFonts w:eastAsia="仿宋_GB2312"/>
          <w:sz w:val="22"/>
          <w:szCs w:val="22"/>
        </w:rPr>
        <w:fldChar w:fldCharType="end"/>
      </w:r>
      <w:r>
        <w:rPr>
          <w:rFonts w:eastAsia="仿宋_GB2312"/>
          <w:sz w:val="22"/>
          <w:szCs w:val="22"/>
        </w:rPr>
        <w:t>、</w:t>
      </w:r>
      <w:r>
        <w:rPr>
          <w:sz w:val="22"/>
          <w:szCs w:val="22"/>
        </w:rPr>
        <w:fldChar w:fldCharType="begin"/>
      </w:r>
      <w:r>
        <w:rPr>
          <w:sz w:val="22"/>
          <w:szCs w:val="22"/>
        </w:rPr>
        <w:instrText xml:space="preserve"> HYPERLINK "http://baike.haosou.com/doc/5381138-5617446.html" \t "_blank" </w:instrText>
      </w:r>
      <w:r>
        <w:rPr>
          <w:sz w:val="22"/>
          <w:szCs w:val="22"/>
        </w:rPr>
        <w:fldChar w:fldCharType="separate"/>
      </w:r>
      <w:r>
        <w:rPr>
          <w:rFonts w:eastAsia="仿宋_GB2312"/>
          <w:sz w:val="22"/>
          <w:szCs w:val="22"/>
        </w:rPr>
        <w:t>颜色</w:t>
      </w:r>
      <w:r>
        <w:rPr>
          <w:rFonts w:eastAsia="仿宋_GB2312"/>
          <w:sz w:val="22"/>
          <w:szCs w:val="22"/>
        </w:rPr>
        <w:fldChar w:fldCharType="end"/>
      </w:r>
      <w:r>
        <w:rPr>
          <w:rFonts w:eastAsia="仿宋_GB2312"/>
          <w:sz w:val="22"/>
          <w:szCs w:val="22"/>
        </w:rPr>
        <w:t>、</w:t>
      </w:r>
      <w:r>
        <w:rPr>
          <w:sz w:val="22"/>
          <w:szCs w:val="22"/>
        </w:rPr>
        <w:fldChar w:fldCharType="begin"/>
      </w:r>
      <w:r>
        <w:rPr>
          <w:sz w:val="22"/>
          <w:szCs w:val="22"/>
        </w:rPr>
        <w:instrText xml:space="preserve"> HYPERLINK "http://baike.haosou.com/doc/6897289-7115866.html" \t "_blank" </w:instrText>
      </w:r>
      <w:r>
        <w:rPr>
          <w:sz w:val="22"/>
          <w:szCs w:val="22"/>
        </w:rPr>
        <w:fldChar w:fldCharType="separate"/>
      </w:r>
      <w:r>
        <w:rPr>
          <w:rFonts w:eastAsia="仿宋_GB2312"/>
          <w:sz w:val="22"/>
          <w:szCs w:val="22"/>
        </w:rPr>
        <w:t>剂型</w:t>
      </w:r>
      <w:r>
        <w:rPr>
          <w:rFonts w:eastAsia="仿宋_GB2312"/>
          <w:sz w:val="22"/>
          <w:szCs w:val="22"/>
        </w:rPr>
        <w:fldChar w:fldCharType="end"/>
      </w:r>
      <w:r>
        <w:rPr>
          <w:rFonts w:eastAsia="仿宋_GB2312"/>
          <w:sz w:val="22"/>
          <w:szCs w:val="22"/>
        </w:rPr>
        <w:t>、</w:t>
      </w:r>
      <w:r>
        <w:rPr>
          <w:sz w:val="22"/>
          <w:szCs w:val="22"/>
        </w:rPr>
        <w:fldChar w:fldCharType="begin"/>
      </w:r>
      <w:r>
        <w:rPr>
          <w:sz w:val="22"/>
          <w:szCs w:val="22"/>
        </w:rPr>
        <w:instrText xml:space="preserve"> HYPERLINK "http://baike.haosou.com/doc/5643939-5856573.html" \t "_blank" </w:instrText>
      </w:r>
      <w:r>
        <w:rPr>
          <w:sz w:val="22"/>
          <w:szCs w:val="22"/>
        </w:rPr>
        <w:fldChar w:fldCharType="separate"/>
      </w:r>
      <w:r>
        <w:rPr>
          <w:rFonts w:eastAsia="仿宋_GB2312"/>
          <w:sz w:val="22"/>
          <w:szCs w:val="22"/>
        </w:rPr>
        <w:t>重量</w:t>
      </w:r>
      <w:r>
        <w:rPr>
          <w:rFonts w:eastAsia="仿宋_GB2312"/>
          <w:sz w:val="22"/>
          <w:szCs w:val="22"/>
        </w:rPr>
        <w:fldChar w:fldCharType="end"/>
      </w:r>
      <w:r>
        <w:rPr>
          <w:rFonts w:eastAsia="仿宋_GB2312"/>
          <w:sz w:val="22"/>
          <w:szCs w:val="22"/>
        </w:rPr>
        <w:t>、</w:t>
      </w:r>
      <w:r>
        <w:rPr>
          <w:sz w:val="22"/>
          <w:szCs w:val="22"/>
        </w:rPr>
        <w:fldChar w:fldCharType="begin"/>
      </w:r>
      <w:r>
        <w:rPr>
          <w:sz w:val="22"/>
          <w:szCs w:val="22"/>
        </w:rPr>
        <w:instrText xml:space="preserve"> HYPERLINK "http://baike.haosou.com/doc/6374552-6588198.html" \t "_blank" </w:instrText>
      </w:r>
      <w:r>
        <w:rPr>
          <w:sz w:val="22"/>
          <w:szCs w:val="22"/>
        </w:rPr>
        <w:fldChar w:fldCharType="separate"/>
      </w:r>
      <w:r>
        <w:rPr>
          <w:rFonts w:eastAsia="仿宋_GB2312"/>
          <w:sz w:val="22"/>
          <w:szCs w:val="22"/>
        </w:rPr>
        <w:t>味道</w:t>
      </w:r>
      <w:r>
        <w:rPr>
          <w:rFonts w:eastAsia="仿宋_GB2312"/>
          <w:sz w:val="22"/>
          <w:szCs w:val="22"/>
        </w:rPr>
        <w:fldChar w:fldCharType="end"/>
      </w:r>
      <w:r>
        <w:rPr>
          <w:rFonts w:eastAsia="仿宋_GB2312"/>
          <w:sz w:val="22"/>
          <w:szCs w:val="22"/>
        </w:rPr>
        <w:t>和</w:t>
      </w:r>
      <w:r>
        <w:rPr>
          <w:sz w:val="22"/>
          <w:szCs w:val="22"/>
        </w:rPr>
        <w:fldChar w:fldCharType="begin"/>
      </w:r>
      <w:r>
        <w:rPr>
          <w:sz w:val="22"/>
          <w:szCs w:val="22"/>
        </w:rPr>
        <w:instrText xml:space="preserve"> HYPERLINK "http://baike.haosou.com/doc/7562000-7836093.html" \t "_blank" </w:instrText>
      </w:r>
      <w:r>
        <w:rPr>
          <w:sz w:val="22"/>
          <w:szCs w:val="22"/>
        </w:rPr>
        <w:fldChar w:fldCharType="separate"/>
      </w:r>
      <w:r>
        <w:rPr>
          <w:rFonts w:eastAsia="仿宋_GB2312"/>
          <w:sz w:val="22"/>
          <w:szCs w:val="22"/>
        </w:rPr>
        <w:t>气味</w:t>
      </w:r>
      <w:r>
        <w:rPr>
          <w:rFonts w:eastAsia="仿宋_GB2312"/>
          <w:sz w:val="22"/>
          <w:szCs w:val="22"/>
        </w:rPr>
        <w:fldChar w:fldCharType="end"/>
      </w:r>
      <w:r>
        <w:rPr>
          <w:rFonts w:eastAsia="仿宋_GB2312"/>
          <w:sz w:val="22"/>
          <w:szCs w:val="22"/>
        </w:rPr>
        <w:t>与试验药物尽可能相同，但不能含有试验药物的有效成分。</w:t>
      </w:r>
    </w:p>
    <w:p>
      <w:pPr>
        <w:wordWrap w:val="0"/>
        <w:spacing w:line="560" w:lineRule="exact"/>
        <w:ind w:firstLine="640" w:firstLineChars="200"/>
        <w:rPr>
          <w:rFonts w:eastAsia="仿宋_GB2312"/>
          <w:sz w:val="22"/>
          <w:szCs w:val="22"/>
        </w:rPr>
      </w:pPr>
      <w:r>
        <w:rPr>
          <w:rFonts w:eastAsia="楷体_GB2312"/>
          <w:bCs/>
          <w:sz w:val="22"/>
          <w:szCs w:val="22"/>
        </w:rPr>
        <w:t>不良事件（Adverse Event, AE）</w:t>
      </w:r>
      <w:bookmarkEnd w:id="415"/>
      <w:r>
        <w:rPr>
          <w:rFonts w:eastAsia="楷体_GB2312"/>
          <w:bCs/>
          <w:sz w:val="22"/>
          <w:szCs w:val="22"/>
        </w:rPr>
        <w:t>，</w:t>
      </w:r>
      <w:r>
        <w:rPr>
          <w:rFonts w:eastAsia="仿宋_GB2312"/>
          <w:sz w:val="22"/>
          <w:szCs w:val="22"/>
        </w:rPr>
        <w:t>此处指临床试验受试者接受试验用药品后出现的所有不良医学事件，可以表现为症状体征、疾病或实验室检查异常，但不一定能推论出与试验用药品有明确的因果关系。</w:t>
      </w:r>
      <w:bookmarkStart w:id="416" w:name="_Toc441830795"/>
    </w:p>
    <w:p>
      <w:pPr>
        <w:wordWrap w:val="0"/>
        <w:spacing w:line="560" w:lineRule="exact"/>
        <w:ind w:firstLine="640" w:firstLineChars="200"/>
        <w:rPr>
          <w:rFonts w:eastAsia="仿宋_GB2312"/>
          <w:sz w:val="22"/>
          <w:szCs w:val="22"/>
        </w:rPr>
      </w:pPr>
      <w:r>
        <w:rPr>
          <w:rFonts w:eastAsia="楷体_GB2312"/>
          <w:bCs/>
          <w:sz w:val="22"/>
          <w:szCs w:val="22"/>
        </w:rPr>
        <w:t>严重不良事件（Serious Adverse Event, SAE），</w:t>
      </w:r>
      <w:r>
        <w:rPr>
          <w:rFonts w:eastAsia="仿宋_GB2312"/>
          <w:sz w:val="22"/>
          <w:szCs w:val="22"/>
        </w:rPr>
        <w:t>指因使用任何剂量的试验用药品发生的、任何引起人体损害的不利医学事件：导致死亡；危及生命；受试者需要住院治疗或延长住院时间；导致永久的或严重的残疾或功能丧失；或者先天性异常、出生缺陷。</w:t>
      </w:r>
    </w:p>
    <w:p>
      <w:pPr>
        <w:wordWrap w:val="0"/>
        <w:spacing w:line="560" w:lineRule="exact"/>
        <w:ind w:firstLine="640" w:firstLineChars="200"/>
        <w:rPr>
          <w:rFonts w:eastAsia="仿宋_GB2312"/>
          <w:sz w:val="22"/>
          <w:szCs w:val="22"/>
        </w:rPr>
      </w:pPr>
      <w:r>
        <w:rPr>
          <w:rFonts w:eastAsia="楷体_GB2312"/>
          <w:bCs/>
          <w:sz w:val="22"/>
          <w:szCs w:val="22"/>
        </w:rPr>
        <w:t>药物不良反应（Adverse Drug Reaction, ADR）</w:t>
      </w:r>
      <w:bookmarkEnd w:id="416"/>
      <w:r>
        <w:rPr>
          <w:rFonts w:eastAsia="楷体_GB2312"/>
          <w:bCs/>
          <w:sz w:val="22"/>
          <w:szCs w:val="22"/>
        </w:rPr>
        <w:t>，</w:t>
      </w:r>
      <w:r>
        <w:rPr>
          <w:rFonts w:eastAsia="仿宋_GB2312"/>
          <w:sz w:val="22"/>
          <w:szCs w:val="22"/>
        </w:rPr>
        <w:t>临床试验中的药物不良反应（未上市药物）有别于已上市的药品不良反应。</w:t>
      </w:r>
    </w:p>
    <w:p>
      <w:pPr>
        <w:wordWrap w:val="0"/>
        <w:spacing w:line="560" w:lineRule="exact"/>
        <w:ind w:firstLine="640" w:firstLineChars="200"/>
        <w:rPr>
          <w:rFonts w:eastAsia="仿宋_GB2312"/>
          <w:sz w:val="22"/>
          <w:szCs w:val="22"/>
        </w:rPr>
      </w:pPr>
      <w:r>
        <w:rPr>
          <w:rFonts w:eastAsia="仿宋_GB2312"/>
          <w:sz w:val="22"/>
          <w:szCs w:val="22"/>
        </w:rPr>
        <w:t>临床试验过程中一个新的药物或药物的新用途，尤其是治疗剂量尚未确定的试验药物发生与药物剂量有关的、对人体有害的、任何非预期的不良反应，均应被考虑为试验药物的不良反应。这种试验药物与不良反应之间的因果关系至少有一个合理的可能性，即不能排除相关性。</w:t>
      </w:r>
    </w:p>
    <w:p>
      <w:pPr>
        <w:wordWrap w:val="0"/>
        <w:spacing w:line="560" w:lineRule="exact"/>
        <w:ind w:firstLine="640" w:firstLineChars="200"/>
        <w:rPr>
          <w:rFonts w:eastAsia="仿宋_GB2312"/>
          <w:sz w:val="22"/>
          <w:szCs w:val="22"/>
        </w:rPr>
      </w:pPr>
      <w:r>
        <w:rPr>
          <w:rFonts w:eastAsia="仿宋_GB2312"/>
          <w:sz w:val="22"/>
          <w:szCs w:val="22"/>
        </w:rPr>
        <w:t>而已上市的药品不良反应，则指合格药品在正常用法用量下，出现的对用于预防、诊断和治疗疾病或改善生理功能等用药目的无关的有害反应。</w:t>
      </w:r>
      <w:bookmarkStart w:id="417" w:name="_Toc441830796"/>
    </w:p>
    <w:p>
      <w:pPr>
        <w:wordWrap w:val="0"/>
        <w:spacing w:line="560" w:lineRule="exact"/>
        <w:ind w:firstLine="616" w:firstLineChars="200"/>
        <w:rPr>
          <w:rFonts w:eastAsia="仿宋_GB2312"/>
          <w:sz w:val="22"/>
          <w:szCs w:val="22"/>
        </w:rPr>
      </w:pPr>
      <w:r>
        <w:rPr>
          <w:rFonts w:eastAsia="楷体_GB2312"/>
          <w:bCs/>
          <w:spacing w:val="-6"/>
          <w:sz w:val="22"/>
          <w:szCs w:val="22"/>
        </w:rPr>
        <w:t>非预期的药物不良反应（Unexpected adverse drug reaction）</w:t>
      </w:r>
      <w:bookmarkEnd w:id="417"/>
      <w:r>
        <w:rPr>
          <w:rFonts w:eastAsia="楷体_GB2312"/>
          <w:bCs/>
          <w:spacing w:val="-6"/>
          <w:sz w:val="22"/>
          <w:szCs w:val="22"/>
        </w:rPr>
        <w:t>，</w:t>
      </w:r>
      <w:r>
        <w:rPr>
          <w:rFonts w:eastAsia="仿宋_GB2312"/>
          <w:sz w:val="22"/>
          <w:szCs w:val="22"/>
        </w:rPr>
        <w:t>药物试验中不良反应的临床表现和严重程度，超出了现有的临床试验资料信息，包括未上市药物的研究者手册、药物说明书；已上市药品的说明书和/或药品性能摘要。</w:t>
      </w:r>
      <w:bookmarkStart w:id="418" w:name="_Toc441830797"/>
    </w:p>
    <w:bookmarkEnd w:id="418"/>
    <w:p>
      <w:pPr>
        <w:wordWrap w:val="0"/>
        <w:spacing w:line="560" w:lineRule="exact"/>
        <w:ind w:firstLine="640" w:firstLineChars="200"/>
        <w:rPr>
          <w:rFonts w:eastAsia="仿宋_GB2312"/>
          <w:sz w:val="22"/>
          <w:szCs w:val="22"/>
        </w:rPr>
      </w:pPr>
      <w:bookmarkStart w:id="419" w:name="_Toc441830798"/>
      <w:r>
        <w:rPr>
          <w:rFonts w:eastAsia="楷体_GB2312"/>
          <w:bCs/>
          <w:sz w:val="22"/>
          <w:szCs w:val="22"/>
        </w:rPr>
        <w:t>受试者识别编码（Subject identification code）</w:t>
      </w:r>
      <w:bookmarkEnd w:id="419"/>
      <w:r>
        <w:rPr>
          <w:rFonts w:eastAsia="楷体_GB2312"/>
          <w:bCs/>
          <w:sz w:val="22"/>
          <w:szCs w:val="22"/>
        </w:rPr>
        <w:t>，</w:t>
      </w:r>
      <w:r>
        <w:rPr>
          <w:rFonts w:eastAsia="仿宋_GB2312"/>
          <w:sz w:val="22"/>
          <w:szCs w:val="22"/>
        </w:rPr>
        <w:t>能够与受试者的源文件相关联的唯一的、独特的识别编码。在临床试验中，报告出现的不良事件和其他与试验有关的数据时，为受试者的身份保密，识别编码可以用来代替受试者的姓名；病人受试者可以用原始病历编号作为识别编码，以利于所有临床试验数据的溯源。</w:t>
      </w:r>
    </w:p>
    <w:p>
      <w:pPr>
        <w:wordWrap w:val="0"/>
        <w:spacing w:line="560" w:lineRule="exact"/>
        <w:ind w:firstLine="640" w:firstLineChars="200"/>
        <w:rPr>
          <w:rFonts w:eastAsia="仿宋_GB2312"/>
          <w:sz w:val="22"/>
          <w:szCs w:val="22"/>
        </w:rPr>
      </w:pPr>
      <w:bookmarkStart w:id="420" w:name="_Toc441830813"/>
      <w:bookmarkStart w:id="421" w:name="_Toc441830801"/>
      <w:r>
        <w:rPr>
          <w:rFonts w:eastAsia="楷体_GB2312"/>
          <w:bCs/>
          <w:sz w:val="22"/>
          <w:szCs w:val="22"/>
        </w:rPr>
        <w:t>多中心试验（Multicentre trial）</w:t>
      </w:r>
      <w:bookmarkEnd w:id="420"/>
      <w:r>
        <w:rPr>
          <w:rFonts w:eastAsia="楷体_GB2312"/>
          <w:bCs/>
          <w:sz w:val="22"/>
          <w:szCs w:val="22"/>
        </w:rPr>
        <w:t>，</w:t>
      </w:r>
      <w:r>
        <w:rPr>
          <w:rFonts w:eastAsia="仿宋_GB2312"/>
          <w:sz w:val="22"/>
          <w:szCs w:val="22"/>
        </w:rPr>
        <w:t>按照同一临床试验方案实施，由一个以上（多个）临床医疗机构和研究者参加的临床试验。</w:t>
      </w:r>
    </w:p>
    <w:bookmarkEnd w:id="421"/>
    <w:p>
      <w:pPr>
        <w:wordWrap w:val="0"/>
        <w:spacing w:line="560" w:lineRule="exact"/>
        <w:ind w:firstLine="640" w:firstLineChars="200"/>
        <w:rPr>
          <w:rFonts w:eastAsia="仿宋_GB2312"/>
          <w:sz w:val="22"/>
          <w:szCs w:val="22"/>
        </w:rPr>
      </w:pPr>
      <w:bookmarkStart w:id="422" w:name="OLE_LINK11"/>
      <w:bookmarkStart w:id="423" w:name="OLE_LINK10"/>
      <w:bookmarkStart w:id="424" w:name="_Toc441830802"/>
      <w:r>
        <w:rPr>
          <w:rFonts w:eastAsia="楷体_GB2312"/>
          <w:bCs/>
          <w:sz w:val="22"/>
          <w:szCs w:val="22"/>
        </w:rPr>
        <w:t>源文件</w:t>
      </w:r>
      <w:bookmarkEnd w:id="422"/>
      <w:bookmarkEnd w:id="423"/>
      <w:r>
        <w:rPr>
          <w:rFonts w:eastAsia="楷体_GB2312"/>
          <w:bCs/>
          <w:sz w:val="22"/>
          <w:szCs w:val="22"/>
        </w:rPr>
        <w:t>（Source documents）</w:t>
      </w:r>
      <w:bookmarkEnd w:id="424"/>
      <w:r>
        <w:rPr>
          <w:rFonts w:eastAsia="楷体_GB2312"/>
          <w:bCs/>
          <w:sz w:val="22"/>
          <w:szCs w:val="22"/>
        </w:rPr>
        <w:t>，</w:t>
      </w:r>
      <w:r>
        <w:rPr>
          <w:rFonts w:eastAsia="仿宋_GB2312"/>
          <w:sz w:val="22"/>
          <w:szCs w:val="22"/>
        </w:rPr>
        <w:t>指临床试验中产生的原始医学记录、医疗文件和数据。源文件包含了源数据，如医院病历、医学图像、实验室记录、临床试验的相关备忘录、受试者临床试验日记或评估表单、发药记录、仪器自动记录的数据、缩微胶片、照相底片、磁介质、X光片，及药房保存的处方、实验室和医技科室的相关文件和记录，包括复制或抄录的核证副本。源文件可以是纸质的和/或电子的。</w:t>
      </w:r>
    </w:p>
    <w:p>
      <w:pPr>
        <w:wordWrap w:val="0"/>
        <w:spacing w:line="560" w:lineRule="exact"/>
        <w:ind w:firstLine="640" w:firstLineChars="200"/>
        <w:rPr>
          <w:rFonts w:eastAsia="仿宋_GB2312"/>
          <w:sz w:val="22"/>
          <w:szCs w:val="22"/>
        </w:rPr>
      </w:pPr>
      <w:bookmarkStart w:id="425" w:name="_Toc441830803"/>
      <w:bookmarkStart w:id="426" w:name="_Toc441830805"/>
      <w:bookmarkStart w:id="427" w:name="_Toc441830804"/>
      <w:r>
        <w:rPr>
          <w:rFonts w:eastAsia="楷体_GB2312"/>
          <w:bCs/>
          <w:sz w:val="22"/>
          <w:szCs w:val="22"/>
        </w:rPr>
        <w:t>源数据（Source data）</w:t>
      </w:r>
      <w:bookmarkEnd w:id="425"/>
      <w:r>
        <w:rPr>
          <w:rFonts w:eastAsia="楷体_GB2312"/>
          <w:bCs/>
          <w:sz w:val="22"/>
          <w:szCs w:val="22"/>
        </w:rPr>
        <w:t>，</w:t>
      </w:r>
      <w:r>
        <w:rPr>
          <w:rFonts w:eastAsia="仿宋_GB2312"/>
          <w:sz w:val="22"/>
          <w:szCs w:val="22"/>
        </w:rPr>
        <w:t>指临床试验中的原始记录或其复印件（核证副本）上记载的所有信息，包括临床发现、观测结果以及用于重建和评价临床试验所必须的其他相关活动记录。</w:t>
      </w:r>
    </w:p>
    <w:bookmarkEnd w:id="426"/>
    <w:p>
      <w:pPr>
        <w:wordWrap w:val="0"/>
        <w:spacing w:line="560" w:lineRule="exact"/>
        <w:ind w:firstLine="640" w:firstLineChars="200"/>
        <w:rPr>
          <w:rFonts w:eastAsia="仿宋_GB2312"/>
          <w:sz w:val="22"/>
          <w:szCs w:val="22"/>
        </w:rPr>
      </w:pPr>
      <w:r>
        <w:rPr>
          <w:rFonts w:eastAsia="楷体_GB2312"/>
          <w:bCs/>
          <w:sz w:val="22"/>
          <w:szCs w:val="22"/>
        </w:rPr>
        <w:t>原始医学记录（Original medical record），</w:t>
      </w:r>
      <w:r>
        <w:rPr>
          <w:rFonts w:eastAsia="仿宋_GB2312"/>
          <w:sz w:val="22"/>
          <w:szCs w:val="22"/>
        </w:rPr>
        <w:t>见源文件。</w:t>
      </w:r>
    </w:p>
    <w:p>
      <w:pPr>
        <w:wordWrap w:val="0"/>
        <w:spacing w:line="560" w:lineRule="exact"/>
        <w:ind w:firstLine="640" w:firstLineChars="200"/>
        <w:rPr>
          <w:rFonts w:eastAsia="仿宋_GB2312"/>
          <w:sz w:val="22"/>
          <w:szCs w:val="22"/>
        </w:rPr>
      </w:pPr>
      <w:r>
        <w:rPr>
          <w:rFonts w:eastAsia="楷体_GB2312"/>
          <w:bCs/>
          <w:sz w:val="22"/>
          <w:szCs w:val="22"/>
        </w:rPr>
        <w:t>临床试验必备文件</w:t>
      </w:r>
      <w:bookmarkEnd w:id="427"/>
      <w:r>
        <w:rPr>
          <w:rFonts w:eastAsia="楷体_GB2312"/>
          <w:bCs/>
          <w:sz w:val="22"/>
          <w:szCs w:val="22"/>
        </w:rPr>
        <w:t>（Essential documents），</w:t>
      </w:r>
      <w:r>
        <w:rPr>
          <w:rFonts w:eastAsia="仿宋_GB2312"/>
          <w:sz w:val="22"/>
          <w:szCs w:val="22"/>
        </w:rPr>
        <w:t>能够评价临床试验的实施过程，和保证获得数据质量的文件。</w:t>
      </w:r>
    </w:p>
    <w:p>
      <w:pPr>
        <w:wordWrap w:val="0"/>
        <w:spacing w:line="560" w:lineRule="exact"/>
        <w:ind w:firstLine="640" w:firstLineChars="200"/>
        <w:rPr>
          <w:rFonts w:eastAsia="仿宋_GB2312"/>
          <w:sz w:val="22"/>
          <w:szCs w:val="22"/>
        </w:rPr>
      </w:pPr>
      <w:bookmarkStart w:id="428" w:name="_Toc441830806"/>
      <w:r>
        <w:rPr>
          <w:rFonts w:eastAsia="楷体_GB2312"/>
          <w:bCs/>
          <w:sz w:val="22"/>
          <w:szCs w:val="22"/>
        </w:rPr>
        <w:t>核证副本（Certified copy）</w:t>
      </w:r>
      <w:bookmarkEnd w:id="428"/>
      <w:r>
        <w:rPr>
          <w:rFonts w:eastAsia="楷体_GB2312"/>
          <w:bCs/>
          <w:sz w:val="22"/>
          <w:szCs w:val="22"/>
        </w:rPr>
        <w:t>，</w:t>
      </w:r>
      <w:r>
        <w:rPr>
          <w:rFonts w:eastAsia="仿宋_GB2312"/>
          <w:sz w:val="22"/>
          <w:szCs w:val="22"/>
        </w:rPr>
        <w:t>有研究者的签名和记录日期的纸质或电子原始记录的复印件，核证副本也是可以被认定为有效的记录。</w:t>
      </w:r>
    </w:p>
    <w:p>
      <w:pPr>
        <w:wordWrap w:val="0"/>
        <w:spacing w:line="560" w:lineRule="exact"/>
        <w:ind w:firstLine="640" w:firstLineChars="200"/>
        <w:rPr>
          <w:rFonts w:eastAsia="仿宋_GB2312"/>
          <w:sz w:val="22"/>
          <w:szCs w:val="22"/>
        </w:rPr>
      </w:pPr>
      <w:bookmarkStart w:id="429" w:name="_Toc441830807"/>
      <w:r>
        <w:rPr>
          <w:rFonts w:eastAsia="楷体_GB2312"/>
          <w:bCs/>
          <w:sz w:val="22"/>
          <w:szCs w:val="22"/>
        </w:rPr>
        <w:t>质量保证（Quality Assurance, QA）</w:t>
      </w:r>
      <w:bookmarkEnd w:id="429"/>
      <w:r>
        <w:rPr>
          <w:rFonts w:eastAsia="楷体_GB2312"/>
          <w:bCs/>
          <w:sz w:val="22"/>
          <w:szCs w:val="22"/>
        </w:rPr>
        <w:t>，</w:t>
      </w:r>
      <w:r>
        <w:rPr>
          <w:rFonts w:eastAsia="仿宋_GB2312"/>
          <w:sz w:val="22"/>
          <w:szCs w:val="22"/>
        </w:rPr>
        <w:t>在临床试验中建立系统的临床试验实施质量保障计划措施，以保证在临床试验实施中遵守试验方案、GCP规范和其他相关药物临床试验的法律法规，生成、记录、和报告试验获得的数据。</w:t>
      </w:r>
    </w:p>
    <w:p>
      <w:pPr>
        <w:wordWrap w:val="0"/>
        <w:spacing w:line="560" w:lineRule="exact"/>
        <w:ind w:firstLine="640" w:firstLineChars="200"/>
        <w:rPr>
          <w:rFonts w:eastAsia="仿宋_GB2312"/>
          <w:sz w:val="22"/>
          <w:szCs w:val="22"/>
        </w:rPr>
      </w:pPr>
      <w:bookmarkStart w:id="430" w:name="_Toc441830808"/>
      <w:r>
        <w:rPr>
          <w:rFonts w:eastAsia="楷体_GB2312"/>
          <w:bCs/>
          <w:sz w:val="22"/>
          <w:szCs w:val="22"/>
        </w:rPr>
        <w:t>质量控制（Quality Control, QC）</w:t>
      </w:r>
      <w:bookmarkEnd w:id="430"/>
      <w:r>
        <w:rPr>
          <w:rFonts w:eastAsia="楷体_GB2312"/>
          <w:bCs/>
          <w:sz w:val="22"/>
          <w:szCs w:val="22"/>
        </w:rPr>
        <w:t>，</w:t>
      </w:r>
      <w:r>
        <w:rPr>
          <w:rFonts w:eastAsia="仿宋_GB2312"/>
          <w:sz w:val="22"/>
          <w:szCs w:val="22"/>
        </w:rPr>
        <w:t>在已建立的临床试验实施质量保证系统中，完成临床试验所有相关的技术工作和数据的处理，并需要有相关的执行确保质量控制的措施。</w:t>
      </w:r>
      <w:bookmarkStart w:id="431" w:name="_Toc441830809"/>
    </w:p>
    <w:p>
      <w:pPr>
        <w:wordWrap w:val="0"/>
        <w:spacing w:line="560" w:lineRule="exact"/>
        <w:ind w:firstLine="640" w:firstLineChars="200"/>
        <w:rPr>
          <w:rFonts w:eastAsia="仿宋_GB2312"/>
          <w:sz w:val="22"/>
          <w:szCs w:val="22"/>
        </w:rPr>
      </w:pPr>
      <w:r>
        <w:rPr>
          <w:rFonts w:eastAsia="楷体_GB2312"/>
          <w:bCs/>
          <w:sz w:val="22"/>
          <w:szCs w:val="22"/>
        </w:rPr>
        <w:t>医疗机构（Institution/ medical）</w:t>
      </w:r>
      <w:bookmarkEnd w:id="431"/>
      <w:r>
        <w:rPr>
          <w:rFonts w:eastAsia="楷体_GB2312"/>
          <w:bCs/>
          <w:sz w:val="22"/>
          <w:szCs w:val="22"/>
        </w:rPr>
        <w:t>，</w:t>
      </w:r>
      <w:r>
        <w:rPr>
          <w:rFonts w:eastAsia="仿宋_GB2312"/>
          <w:sz w:val="22"/>
          <w:szCs w:val="22"/>
        </w:rPr>
        <w:t>实施临床试验的医疗机构。</w:t>
      </w:r>
      <w:bookmarkStart w:id="432" w:name="_Toc441830810"/>
    </w:p>
    <w:p>
      <w:pPr>
        <w:wordWrap w:val="0"/>
        <w:spacing w:line="560" w:lineRule="exact"/>
        <w:ind w:firstLine="640" w:firstLineChars="200"/>
        <w:rPr>
          <w:rFonts w:eastAsia="仿宋_GB2312"/>
          <w:sz w:val="22"/>
          <w:szCs w:val="22"/>
        </w:rPr>
      </w:pPr>
      <w:r>
        <w:rPr>
          <w:rFonts w:eastAsia="楷体_GB2312"/>
          <w:bCs/>
          <w:sz w:val="22"/>
          <w:szCs w:val="22"/>
        </w:rPr>
        <w:t>试验现场（Trial site）</w:t>
      </w:r>
      <w:bookmarkEnd w:id="432"/>
      <w:r>
        <w:rPr>
          <w:rFonts w:eastAsia="楷体_GB2312"/>
          <w:bCs/>
          <w:sz w:val="22"/>
          <w:szCs w:val="22"/>
        </w:rPr>
        <w:t>，</w:t>
      </w:r>
      <w:r>
        <w:rPr>
          <w:rFonts w:eastAsia="仿宋_GB2312"/>
          <w:sz w:val="22"/>
          <w:szCs w:val="22"/>
        </w:rPr>
        <w:t>进行药物临床试验相关活动的试验场所。</w:t>
      </w:r>
    </w:p>
    <w:p>
      <w:pPr>
        <w:wordWrap w:val="0"/>
        <w:spacing w:line="560" w:lineRule="exact"/>
        <w:ind w:firstLine="640" w:firstLineChars="200"/>
        <w:rPr>
          <w:rFonts w:eastAsia="仿宋_GB2312"/>
          <w:sz w:val="22"/>
          <w:szCs w:val="22"/>
        </w:rPr>
      </w:pPr>
      <w:bookmarkStart w:id="433" w:name="_Toc441830814"/>
      <w:r>
        <w:rPr>
          <w:rFonts w:eastAsia="楷体_GB2312"/>
          <w:bCs/>
          <w:sz w:val="22"/>
          <w:szCs w:val="22"/>
        </w:rPr>
        <w:t>保密性（Confidentiality）</w:t>
      </w:r>
      <w:bookmarkEnd w:id="433"/>
      <w:r>
        <w:rPr>
          <w:rFonts w:eastAsia="楷体_GB2312"/>
          <w:bCs/>
          <w:sz w:val="22"/>
          <w:szCs w:val="22"/>
        </w:rPr>
        <w:t>，</w:t>
      </w:r>
      <w:r>
        <w:rPr>
          <w:rFonts w:eastAsia="仿宋_GB2312"/>
          <w:sz w:val="22"/>
          <w:szCs w:val="22"/>
        </w:rPr>
        <w:t>不得向未经授权的个人泄露属于申办者所有的资料，或受试者的相关信息。</w:t>
      </w:r>
    </w:p>
    <w:p>
      <w:pPr>
        <w:wordWrap w:val="0"/>
        <w:spacing w:line="560" w:lineRule="exact"/>
        <w:ind w:firstLine="640" w:firstLineChars="200"/>
        <w:rPr>
          <w:rFonts w:eastAsia="仿宋_GB2312"/>
          <w:sz w:val="22"/>
          <w:szCs w:val="22"/>
        </w:rPr>
      </w:pPr>
      <w:bookmarkStart w:id="434" w:name="_Toc441830815"/>
      <w:r>
        <w:rPr>
          <w:rFonts w:eastAsia="楷体_GB2312"/>
          <w:bCs/>
          <w:sz w:val="22"/>
          <w:szCs w:val="22"/>
        </w:rPr>
        <w:t>合同（Contract, agreement）</w:t>
      </w:r>
      <w:bookmarkEnd w:id="434"/>
      <w:r>
        <w:rPr>
          <w:rFonts w:eastAsia="楷体_GB2312"/>
          <w:bCs/>
          <w:sz w:val="22"/>
          <w:szCs w:val="22"/>
        </w:rPr>
        <w:t>，</w:t>
      </w:r>
      <w:r>
        <w:rPr>
          <w:rFonts w:eastAsia="仿宋_GB2312"/>
          <w:sz w:val="22"/>
          <w:szCs w:val="22"/>
        </w:rPr>
        <w:t>在两方或多方之间的、书面的、签署姓名和单位的、注明签名日期的一份协议契约，其中规定了各方在参加临床试验中各自的工作内容、责任的委托和财务经费等相关问题的安排。以试验方案的内容作为合同的基础。</w:t>
      </w:r>
    </w:p>
    <w:p>
      <w:pPr>
        <w:wordWrap w:val="0"/>
        <w:spacing w:line="560" w:lineRule="exact"/>
        <w:ind w:firstLine="640" w:firstLineChars="200"/>
        <w:rPr>
          <w:rFonts w:eastAsia="仿宋_GB2312"/>
          <w:sz w:val="22"/>
          <w:szCs w:val="22"/>
        </w:rPr>
      </w:pPr>
      <w:bookmarkStart w:id="435" w:name="_Toc441830817"/>
      <w:r>
        <w:rPr>
          <w:rFonts w:eastAsia="楷体_GB2312"/>
          <w:bCs/>
          <w:sz w:val="22"/>
          <w:szCs w:val="22"/>
        </w:rPr>
        <w:t>计算机系统的验证</w:t>
      </w:r>
      <w:bookmarkEnd w:id="435"/>
      <w:r>
        <w:rPr>
          <w:rFonts w:eastAsia="楷体_GB2312"/>
          <w:bCs/>
          <w:sz w:val="22"/>
          <w:szCs w:val="22"/>
        </w:rPr>
        <w:t>（Validation of computerized systems），</w:t>
      </w:r>
      <w:r>
        <w:rPr>
          <w:rFonts w:eastAsia="仿宋_GB2312"/>
          <w:sz w:val="22"/>
          <w:szCs w:val="22"/>
        </w:rPr>
        <w:t>以文件化的证据来证实一个计算机化系统符合技术规范、达到了设计要求并满足用户需求。其目的是对计算机化系统的用户需求及其设计规格、安装、运行、性能的正确性以及对生产的适用性等进行全面的测试和确认，以证实该计算机化系统达到设计要求、技术指标以及用户要求。通过计算机化系统的验证，可确保系统在其整个生命周期中的质量保证得以建立，并始终处于可控制状态下，是一个建立和记录计算机化系统的特定要求，在临床试验中能够持续一致的被满足工作要求的过程。验证应该确保准确性、可靠性和持续的预期性能，从系统的设计到退役或迁移到一个新系统。能在其投入应用直至退役过程中都能高度再现和维护系统的标准和功能符合监管要求。</w:t>
      </w:r>
    </w:p>
    <w:p>
      <w:pPr>
        <w:wordWrap w:val="0"/>
        <w:spacing w:line="560" w:lineRule="exact"/>
        <w:ind w:firstLine="640" w:firstLineChars="200"/>
        <w:rPr>
          <w:rFonts w:eastAsia="仿宋_GB2312"/>
          <w:sz w:val="22"/>
          <w:szCs w:val="22"/>
        </w:rPr>
      </w:pPr>
      <w:r>
        <w:rPr>
          <w:rFonts w:eastAsia="楷体_GB2312"/>
          <w:bCs/>
          <w:sz w:val="22"/>
          <w:szCs w:val="22"/>
        </w:rPr>
        <w:t>计算机化系统（Computerized system），</w:t>
      </w:r>
      <w:r>
        <w:rPr>
          <w:rFonts w:eastAsia="仿宋_GB2312"/>
          <w:sz w:val="22"/>
          <w:szCs w:val="22"/>
        </w:rPr>
        <w:t>临床试验中计算机化系统不单单是指计算机运用本身。计算机化系统中的“系统”意味着一个与临床研究过程有关的各个功能性软件和硬件配置环境，包括与之相配合的人员，设备，政策和程序等。从计算机化系统的生命周期而言，它涉及到计算机化系统的建立、验证，维护，运营，变更管理，退役和相关数据申报等规程及其相呼应的人员资质和培训，系统环境管理的标准操作规范和安全措施等药政规范要求。从临床试验中的计算机化系统的运用生命周期而言，计算机化系统就是一个以电子表格的形式用于建立、修正，维护，存档、检索或传输临床数据的电子信息系统及其与之管理相关的人员和系统运营环境体系。</w:t>
      </w:r>
    </w:p>
    <w:p>
      <w:pPr>
        <w:wordWrap w:val="0"/>
        <w:spacing w:line="560" w:lineRule="exact"/>
        <w:ind w:firstLine="640" w:firstLineChars="200"/>
        <w:rPr>
          <w:rFonts w:eastAsia="仿宋_GB2312"/>
          <w:sz w:val="22"/>
          <w:szCs w:val="22"/>
        </w:rPr>
      </w:pPr>
      <w:r>
        <w:rPr>
          <w:rFonts w:eastAsia="楷体_GB2312"/>
          <w:bCs/>
          <w:sz w:val="22"/>
          <w:szCs w:val="22"/>
        </w:rPr>
        <w:t>电子数据稽查轨迹（audit trail），</w:t>
      </w:r>
      <w:r>
        <w:rPr>
          <w:rFonts w:eastAsia="仿宋_GB2312"/>
          <w:sz w:val="22"/>
          <w:szCs w:val="22"/>
        </w:rPr>
        <w:t>是计算机系统（如数据管理系统）的基本功能。意旨系统采用安全的和计算机产生的带有时间烙印的电子记录，能够独立追溯系统用户输入、修改或删除每一条电子数据记录的日期，时间，以及修改原因，以便日后数据的重现。任何记录的改变都不会使过去的记录被掩盖或消失。只要受试者的电子记录保存不变，这类稽查轨迹文档记录就应始终保留，并可供监管视察或稽查员审阅和复制。</w:t>
      </w:r>
    </w:p>
    <w:p>
      <w:pPr>
        <w:wordWrap w:val="0"/>
        <w:spacing w:line="560" w:lineRule="exact"/>
        <w:ind w:firstLine="640" w:firstLineChars="200"/>
        <w:rPr>
          <w:rFonts w:eastAsia="仿宋_GB2312"/>
          <w:sz w:val="22"/>
          <w:szCs w:val="22"/>
        </w:rPr>
      </w:pPr>
      <w:bookmarkStart w:id="436" w:name="_Toc454451377"/>
      <w:r>
        <w:rPr>
          <w:rFonts w:eastAsia="仿宋_GB2312"/>
          <w:sz w:val="22"/>
          <w:szCs w:val="22"/>
        </w:rPr>
        <w:t>本规范自201 年  月  日起施行。2003年8月6日发布的《药物临床试验质量管理规范》（国家食品药品监督管理局</w:t>
      </w:r>
      <w:r>
        <w:rPr>
          <w:rFonts w:hint="eastAsia" w:eastAsia="仿宋_GB2312"/>
          <w:sz w:val="22"/>
          <w:szCs w:val="22"/>
        </w:rPr>
        <w:t>局</w:t>
      </w:r>
      <w:r>
        <w:rPr>
          <w:rFonts w:eastAsia="仿宋_GB2312"/>
          <w:sz w:val="22"/>
          <w:szCs w:val="22"/>
        </w:rPr>
        <w:t>令第3号）同时废止。</w:t>
      </w:r>
      <w:bookmarkEnd w:id="436"/>
    </w:p>
    <w:p>
      <w:pPr>
        <w:snapToGrid w:val="0"/>
        <w:spacing w:line="360" w:lineRule="auto"/>
        <w:jc w:val="left"/>
        <w:rPr>
          <w:rFonts w:ascii="黑体" w:hAnsi="黑体" w:eastAsia="黑体"/>
          <w:sz w:val="22"/>
          <w:szCs w:val="22"/>
        </w:rPr>
      </w:pPr>
    </w:p>
    <w:p>
      <w:pPr>
        <w:snapToGrid w:val="0"/>
        <w:spacing w:line="360" w:lineRule="auto"/>
        <w:jc w:val="left"/>
        <w:rPr>
          <w:rFonts w:ascii="黑体" w:hAnsi="黑体" w:eastAsia="黑体"/>
          <w:sz w:val="22"/>
          <w:szCs w:val="22"/>
        </w:rPr>
      </w:pPr>
    </w:p>
    <w:p>
      <w:pPr>
        <w:snapToGrid w:val="0"/>
        <w:spacing w:line="360" w:lineRule="auto"/>
        <w:jc w:val="left"/>
        <w:rPr>
          <w:rFonts w:hint="eastAsia" w:ascii="黑体" w:hAnsi="黑体" w:eastAsia="黑体"/>
          <w:sz w:val="22"/>
          <w:szCs w:val="22"/>
          <w:lang w:val="en-US" w:eastAsia="zh-CN"/>
        </w:rPr>
      </w:pPr>
      <w:r>
        <w:rPr>
          <w:rFonts w:hint="eastAsia" w:ascii="黑体" w:hAnsi="黑体" w:eastAsia="黑体"/>
          <w:sz w:val="22"/>
          <w:szCs w:val="22"/>
          <w:lang w:val="en-US" w:eastAsia="zh-CN"/>
        </w:rPr>
        <w:t xml:space="preserve">   </w:t>
      </w:r>
    </w:p>
    <w:p>
      <w:pPr>
        <w:snapToGrid w:val="0"/>
        <w:spacing w:line="360" w:lineRule="auto"/>
        <w:jc w:val="left"/>
        <w:rPr>
          <w:rFonts w:hint="eastAsia" w:ascii="黑体" w:hAnsi="黑体" w:eastAsia="黑体"/>
          <w:sz w:val="22"/>
          <w:szCs w:val="22"/>
          <w:lang w:val="en-US" w:eastAsia="zh-CN"/>
        </w:rPr>
      </w:pPr>
    </w:p>
    <w:p>
      <w:pPr>
        <w:snapToGrid w:val="0"/>
        <w:spacing w:line="360" w:lineRule="auto"/>
        <w:jc w:val="left"/>
        <w:rPr>
          <w:rFonts w:hint="eastAsia" w:ascii="黑体" w:hAnsi="黑体" w:eastAsia="黑体"/>
          <w:sz w:val="22"/>
          <w:szCs w:val="22"/>
          <w:lang w:val="en-US" w:eastAsia="zh-CN"/>
        </w:rPr>
      </w:pPr>
      <w:bookmarkStart w:id="437" w:name="_GoBack"/>
      <w:bookmarkEnd w:id="437"/>
    </w:p>
    <w:p>
      <w:pPr>
        <w:snapToGrid w:val="0"/>
        <w:spacing w:line="600" w:lineRule="exact"/>
        <w:jc w:val="left"/>
        <w:rPr>
          <w:rFonts w:ascii="黑体" w:hAnsi="黑体" w:eastAsia="黑体"/>
          <w:sz w:val="28"/>
          <w:szCs w:val="28"/>
        </w:rPr>
      </w:pPr>
      <w:r>
        <w:rPr>
          <w:rFonts w:hint="eastAsia" w:ascii="黑体" w:hAnsi="黑体" w:eastAsia="黑体"/>
          <w:sz w:val="28"/>
          <w:szCs w:val="28"/>
        </w:rPr>
        <w:t>附件</w:t>
      </w:r>
    </w:p>
    <w:p>
      <w:pPr>
        <w:snapToGrid w:val="0"/>
        <w:spacing w:line="600" w:lineRule="exact"/>
        <w:jc w:val="center"/>
        <w:rPr>
          <w:rFonts w:ascii="方正小标宋简体" w:hAnsi="黑体" w:eastAsia="方正小标宋简体"/>
          <w:sz w:val="28"/>
          <w:szCs w:val="28"/>
        </w:rPr>
      </w:pPr>
      <w:r>
        <w:rPr>
          <w:rFonts w:hint="eastAsia" w:ascii="方正小标宋简体" w:hAnsi="黑体" w:eastAsia="方正小标宋简体"/>
          <w:sz w:val="28"/>
          <w:szCs w:val="28"/>
        </w:rPr>
        <w:t>临床试验保存文件</w:t>
      </w:r>
    </w:p>
    <w:p>
      <w:pPr>
        <w:snapToGrid w:val="0"/>
        <w:spacing w:line="400" w:lineRule="exact"/>
        <w:jc w:val="center"/>
        <w:rPr>
          <w:rFonts w:ascii="方正小标宋简体" w:hAnsi="黑体" w:eastAsia="方正小标宋简体"/>
          <w:sz w:val="28"/>
          <w:szCs w:val="28"/>
        </w:rPr>
      </w:pPr>
    </w:p>
    <w:p>
      <w:pPr>
        <w:ind w:firstLine="640" w:firstLineChars="200"/>
        <w:jc w:val="left"/>
        <w:rPr>
          <w:rFonts w:ascii="黑体" w:hAnsi="黑体" w:eastAsia="黑体"/>
          <w:sz w:val="28"/>
          <w:szCs w:val="28"/>
        </w:rPr>
      </w:pPr>
      <w:r>
        <w:rPr>
          <w:rFonts w:hint="eastAsia" w:ascii="黑体" w:hAnsi="黑体" w:eastAsia="黑体"/>
          <w:sz w:val="28"/>
          <w:szCs w:val="28"/>
        </w:rPr>
        <w:t>一、临床试验准备阶段</w:t>
      </w:r>
    </w:p>
    <w:tbl>
      <w:tblPr>
        <w:tblStyle w:val="28"/>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3091"/>
        <w:gridCol w:w="3600"/>
        <w:gridCol w:w="1275"/>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42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spacing w:val="-6"/>
                <w:kern w:val="0"/>
                <w:sz w:val="28"/>
                <w:szCs w:val="28"/>
              </w:rPr>
            </w:pPr>
          </w:p>
        </w:tc>
        <w:tc>
          <w:tcPr>
            <w:tcW w:w="309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b/>
                <w:spacing w:val="-6"/>
                <w:kern w:val="0"/>
                <w:sz w:val="28"/>
                <w:szCs w:val="28"/>
              </w:rPr>
            </w:pPr>
            <w:r>
              <w:rPr>
                <w:rFonts w:eastAsia="仿宋_GB2312"/>
                <w:b/>
                <w:spacing w:val="-6"/>
                <w:kern w:val="0"/>
                <w:sz w:val="28"/>
                <w:szCs w:val="28"/>
              </w:rPr>
              <w:t>保存文件</w:t>
            </w:r>
          </w:p>
        </w:tc>
        <w:tc>
          <w:tcPr>
            <w:tcW w:w="360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b/>
                <w:spacing w:val="-6"/>
                <w:kern w:val="0"/>
                <w:sz w:val="28"/>
                <w:szCs w:val="28"/>
              </w:rPr>
            </w:pPr>
            <w:r>
              <w:rPr>
                <w:rFonts w:eastAsia="仿宋_GB2312"/>
                <w:b/>
                <w:spacing w:val="-6"/>
                <w:kern w:val="0"/>
                <w:sz w:val="28"/>
                <w:szCs w:val="28"/>
              </w:rPr>
              <w:t>目的</w:t>
            </w:r>
          </w:p>
        </w:tc>
        <w:tc>
          <w:tcPr>
            <w:tcW w:w="2239"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42" w:leftChars="-20" w:right="-42" w:rightChars="-20"/>
              <w:jc w:val="center"/>
              <w:rPr>
                <w:rFonts w:eastAsia="仿宋_GB2312"/>
                <w:b/>
                <w:spacing w:val="-6"/>
                <w:kern w:val="0"/>
                <w:sz w:val="28"/>
                <w:szCs w:val="28"/>
              </w:rPr>
            </w:pPr>
            <w:r>
              <w:rPr>
                <w:rFonts w:eastAsia="仿宋_GB2312"/>
                <w:b/>
                <w:spacing w:val="-6"/>
                <w:kern w:val="0"/>
                <w:sz w:val="28"/>
                <w:szCs w:val="28"/>
              </w:rPr>
              <w:t>归档在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spacing w:val="-6"/>
                <w:kern w:val="0"/>
                <w:sz w:val="28"/>
                <w:szCs w:val="28"/>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rPr>
                <w:rFonts w:eastAsia="仿宋_GB2312"/>
                <w:b/>
                <w:spacing w:val="-6"/>
                <w:kern w:val="0"/>
                <w:sz w:val="28"/>
                <w:szCs w:val="28"/>
              </w:rPr>
            </w:pPr>
          </w:p>
        </w:tc>
        <w:tc>
          <w:tcPr>
            <w:tcW w:w="360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rPr>
                <w:rFonts w:eastAsia="仿宋_GB2312"/>
                <w:b/>
                <w:spacing w:val="-6"/>
                <w:kern w:val="0"/>
                <w:sz w:val="28"/>
                <w:szCs w:val="28"/>
              </w:rPr>
            </w:pPr>
          </w:p>
        </w:tc>
        <w:tc>
          <w:tcPr>
            <w:tcW w:w="127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42" w:leftChars="-20" w:right="-42" w:rightChars="-20"/>
              <w:jc w:val="center"/>
              <w:rPr>
                <w:rFonts w:eastAsia="仿宋_GB2312"/>
                <w:b/>
                <w:spacing w:val="-6"/>
                <w:kern w:val="0"/>
                <w:sz w:val="28"/>
                <w:szCs w:val="28"/>
              </w:rPr>
            </w:pPr>
            <w:r>
              <w:rPr>
                <w:rFonts w:eastAsia="仿宋_GB2312"/>
                <w:b/>
                <w:spacing w:val="-6"/>
                <w:kern w:val="0"/>
                <w:sz w:val="28"/>
                <w:szCs w:val="28"/>
              </w:rPr>
              <w:t>研究者/</w:t>
            </w:r>
          </w:p>
          <w:p>
            <w:pPr>
              <w:adjustRightInd w:val="0"/>
              <w:snapToGrid w:val="0"/>
              <w:spacing w:line="360" w:lineRule="auto"/>
              <w:ind w:left="-42" w:leftChars="-20" w:right="-42" w:rightChars="-20"/>
              <w:jc w:val="center"/>
              <w:rPr>
                <w:rFonts w:eastAsia="仿宋_GB2312"/>
                <w:b/>
                <w:spacing w:val="-6"/>
                <w:kern w:val="0"/>
                <w:sz w:val="28"/>
                <w:szCs w:val="28"/>
              </w:rPr>
            </w:pPr>
            <w:r>
              <w:rPr>
                <w:rFonts w:eastAsia="仿宋_GB2312"/>
                <w:b/>
                <w:spacing w:val="-6"/>
                <w:kern w:val="0"/>
                <w:sz w:val="28"/>
                <w:szCs w:val="28"/>
              </w:rPr>
              <w:t>研究机构</w:t>
            </w:r>
          </w:p>
        </w:tc>
        <w:tc>
          <w:tcPr>
            <w:tcW w:w="96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42" w:leftChars="-20" w:right="-42" w:rightChars="-20"/>
              <w:jc w:val="center"/>
              <w:rPr>
                <w:rFonts w:eastAsia="仿宋_GB2312"/>
                <w:b/>
                <w:spacing w:val="-6"/>
                <w:kern w:val="0"/>
                <w:sz w:val="28"/>
                <w:szCs w:val="28"/>
              </w:rPr>
            </w:pPr>
            <w:r>
              <w:rPr>
                <w:rFonts w:eastAsia="仿宋_GB2312"/>
                <w:b/>
                <w:spacing w:val="-6"/>
                <w:kern w:val="0"/>
                <w:sz w:val="28"/>
                <w:szCs w:val="28"/>
              </w:rPr>
              <w:t>申办者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360" w:lineRule="auto"/>
              <w:ind w:right="-42" w:rightChars="-20"/>
              <w:jc w:val="center"/>
              <w:rPr>
                <w:rFonts w:eastAsia="仿宋_GB2312"/>
                <w:spacing w:val="-6"/>
                <w:kern w:val="0"/>
                <w:sz w:val="28"/>
                <w:szCs w:val="28"/>
              </w:rPr>
            </w:pPr>
          </w:p>
        </w:tc>
        <w:tc>
          <w:tcPr>
            <w:tcW w:w="30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研究者手册</w:t>
            </w:r>
          </w:p>
        </w:tc>
        <w:tc>
          <w:tcPr>
            <w:tcW w:w="3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证明申办方已将与试验药品相关的、最新的科研结果和临床试验对人体可能的损害信息提供给了研究者</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spacing w:val="-6"/>
                <w:kern w:val="0"/>
                <w:sz w:val="28"/>
                <w:szCs w:val="28"/>
              </w:rPr>
            </w:pPr>
            <w:r>
              <w:rPr>
                <w:rFonts w:eastAsia="仿宋_GB2312"/>
                <w:spacing w:val="-6"/>
                <w:kern w:val="0"/>
                <w:sz w:val="28"/>
                <w:szCs w:val="28"/>
              </w:rPr>
              <w:t>X</w:t>
            </w: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spacing w:val="-6"/>
                <w:kern w:val="0"/>
                <w:sz w:val="28"/>
                <w:szCs w:val="28"/>
              </w:rPr>
            </w:pPr>
            <w:r>
              <w:rPr>
                <w:rFonts w:eastAsia="仿宋_GB2312"/>
                <w:spacing w:val="-6"/>
                <w:kern w:val="0"/>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360" w:lineRule="auto"/>
              <w:ind w:right="-42" w:rightChars="-20"/>
              <w:jc w:val="center"/>
              <w:rPr>
                <w:rFonts w:eastAsia="仿宋_GB2312"/>
                <w:spacing w:val="-6"/>
                <w:kern w:val="0"/>
                <w:sz w:val="28"/>
                <w:szCs w:val="28"/>
              </w:rPr>
            </w:pPr>
          </w:p>
        </w:tc>
        <w:tc>
          <w:tcPr>
            <w:tcW w:w="30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已签字的临床试验方案、方案修正案、病例报告表（CRF样本）</w:t>
            </w:r>
          </w:p>
        </w:tc>
        <w:tc>
          <w:tcPr>
            <w:tcW w:w="3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证明研究者和申办者同意已签字的临床试验方案、方案修正案、病例报告表（CRF）样本</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spacing w:val="-6"/>
                <w:kern w:val="0"/>
                <w:sz w:val="28"/>
                <w:szCs w:val="28"/>
              </w:rPr>
            </w:pPr>
            <w:r>
              <w:rPr>
                <w:rFonts w:eastAsia="仿宋_GB2312"/>
                <w:spacing w:val="-6"/>
                <w:kern w:val="0"/>
                <w:sz w:val="28"/>
                <w:szCs w:val="28"/>
              </w:rPr>
              <w:t>X</w:t>
            </w: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spacing w:val="-6"/>
                <w:kern w:val="0"/>
                <w:sz w:val="28"/>
                <w:szCs w:val="28"/>
              </w:rPr>
            </w:pPr>
            <w:r>
              <w:rPr>
                <w:rFonts w:eastAsia="仿宋_GB2312"/>
                <w:spacing w:val="-6"/>
                <w:kern w:val="0"/>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360" w:lineRule="auto"/>
              <w:ind w:right="-42" w:rightChars="-20"/>
              <w:jc w:val="center"/>
              <w:rPr>
                <w:rFonts w:eastAsia="仿宋_GB2312"/>
                <w:spacing w:val="-6"/>
                <w:kern w:val="0"/>
                <w:sz w:val="28"/>
                <w:szCs w:val="28"/>
              </w:rPr>
            </w:pPr>
          </w:p>
        </w:tc>
        <w:tc>
          <w:tcPr>
            <w:tcW w:w="30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提供给受试者的信息（样本）</w:t>
            </w:r>
          </w:p>
          <w:p>
            <w:pPr>
              <w:adjustRightInd w:val="0"/>
              <w:snapToGrid w:val="0"/>
              <w:spacing w:line="276" w:lineRule="auto"/>
              <w:ind w:right="-20"/>
              <w:rPr>
                <w:rFonts w:eastAsia="仿宋_GB2312"/>
                <w:spacing w:val="-6"/>
                <w:sz w:val="28"/>
                <w:szCs w:val="28"/>
              </w:rPr>
            </w:pPr>
            <w:r>
              <w:rPr>
                <w:rFonts w:eastAsia="仿宋_GB2312"/>
                <w:spacing w:val="-6"/>
                <w:sz w:val="28"/>
                <w:szCs w:val="28"/>
              </w:rPr>
              <w:t>—知情同意书（包括所有适用的译文）</w:t>
            </w:r>
          </w:p>
          <w:p>
            <w:pPr>
              <w:adjustRightInd w:val="0"/>
              <w:snapToGrid w:val="0"/>
              <w:spacing w:line="276" w:lineRule="auto"/>
              <w:ind w:right="-20"/>
              <w:rPr>
                <w:rFonts w:eastAsia="仿宋_GB2312"/>
                <w:spacing w:val="-6"/>
                <w:sz w:val="28"/>
                <w:szCs w:val="28"/>
              </w:rPr>
            </w:pPr>
            <w:r>
              <w:rPr>
                <w:rFonts w:eastAsia="仿宋_GB2312"/>
                <w:spacing w:val="-6"/>
                <w:sz w:val="28"/>
                <w:szCs w:val="28"/>
              </w:rPr>
              <w:t>—其他提供给受试者的任何书面资料</w:t>
            </w:r>
          </w:p>
          <w:p>
            <w:pPr>
              <w:adjustRightInd w:val="0"/>
              <w:snapToGrid w:val="0"/>
              <w:spacing w:line="276" w:lineRule="auto"/>
              <w:ind w:right="-20"/>
              <w:rPr>
                <w:rFonts w:eastAsia="仿宋_GB2312"/>
                <w:spacing w:val="-6"/>
                <w:sz w:val="28"/>
                <w:szCs w:val="28"/>
              </w:rPr>
            </w:pPr>
            <w:r>
              <w:rPr>
                <w:rFonts w:eastAsia="仿宋_GB2312"/>
                <w:spacing w:val="-6"/>
                <w:sz w:val="28"/>
                <w:szCs w:val="28"/>
              </w:rPr>
              <w:t>— 受试者的招募广告（若使用）</w:t>
            </w:r>
          </w:p>
        </w:tc>
        <w:tc>
          <w:tcPr>
            <w:tcW w:w="3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证明知情同意</w:t>
            </w:r>
          </w:p>
          <w:p>
            <w:pPr>
              <w:adjustRightInd w:val="0"/>
              <w:snapToGrid w:val="0"/>
              <w:spacing w:line="276" w:lineRule="auto"/>
              <w:ind w:right="-20"/>
              <w:rPr>
                <w:rFonts w:eastAsia="仿宋_GB2312"/>
                <w:spacing w:val="-6"/>
                <w:sz w:val="28"/>
                <w:szCs w:val="28"/>
              </w:rPr>
            </w:pPr>
            <w:r>
              <w:rPr>
                <w:rFonts w:eastAsia="仿宋_GB2312"/>
                <w:spacing w:val="-6"/>
                <w:sz w:val="28"/>
                <w:szCs w:val="28"/>
              </w:rPr>
              <w:t>证明受试者获得内容及措辞恰当的书面信息，支持受试者对临床试验有完全知情同意的能力</w:t>
            </w:r>
          </w:p>
          <w:p>
            <w:pPr>
              <w:adjustRightInd w:val="0"/>
              <w:snapToGrid w:val="0"/>
              <w:spacing w:line="276" w:lineRule="auto"/>
              <w:ind w:right="-20"/>
              <w:rPr>
                <w:rFonts w:eastAsia="仿宋_GB2312"/>
                <w:spacing w:val="-6"/>
                <w:sz w:val="28"/>
                <w:szCs w:val="28"/>
              </w:rPr>
            </w:pPr>
            <w:r>
              <w:rPr>
                <w:rFonts w:eastAsia="仿宋_GB2312"/>
                <w:spacing w:val="-6"/>
                <w:sz w:val="28"/>
                <w:szCs w:val="28"/>
              </w:rPr>
              <w:t>证明招募受试者的方法是合适的和正当的</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spacing w:val="-6"/>
                <w:kern w:val="0"/>
                <w:sz w:val="28"/>
                <w:szCs w:val="28"/>
              </w:rPr>
            </w:pPr>
            <w:r>
              <w:rPr>
                <w:rFonts w:eastAsia="仿宋_GB2312"/>
                <w:spacing w:val="-6"/>
                <w:kern w:val="0"/>
                <w:sz w:val="28"/>
                <w:szCs w:val="28"/>
              </w:rPr>
              <w:t>X</w:t>
            </w:r>
          </w:p>
          <w:p>
            <w:pPr>
              <w:adjustRightInd w:val="0"/>
              <w:snapToGrid w:val="0"/>
              <w:spacing w:line="360" w:lineRule="auto"/>
              <w:ind w:left="-42" w:leftChars="-20" w:right="-42" w:rightChars="-20"/>
              <w:jc w:val="center"/>
              <w:rPr>
                <w:rFonts w:eastAsia="仿宋_GB2312"/>
                <w:spacing w:val="-6"/>
                <w:kern w:val="0"/>
                <w:sz w:val="28"/>
                <w:szCs w:val="28"/>
              </w:rPr>
            </w:pPr>
          </w:p>
          <w:p>
            <w:pPr>
              <w:adjustRightInd w:val="0"/>
              <w:snapToGrid w:val="0"/>
              <w:spacing w:line="360" w:lineRule="auto"/>
              <w:ind w:left="-42" w:leftChars="-20" w:right="-42" w:rightChars="-20"/>
              <w:jc w:val="center"/>
              <w:rPr>
                <w:rFonts w:eastAsia="仿宋_GB2312"/>
                <w:spacing w:val="-6"/>
                <w:kern w:val="0"/>
                <w:sz w:val="28"/>
                <w:szCs w:val="28"/>
              </w:rPr>
            </w:pPr>
            <w:r>
              <w:rPr>
                <w:rFonts w:eastAsia="仿宋_GB2312"/>
                <w:spacing w:val="-6"/>
                <w:kern w:val="0"/>
                <w:sz w:val="28"/>
                <w:szCs w:val="28"/>
              </w:rPr>
              <w:t>X</w:t>
            </w:r>
          </w:p>
          <w:p>
            <w:pPr>
              <w:adjustRightInd w:val="0"/>
              <w:snapToGrid w:val="0"/>
              <w:spacing w:line="360" w:lineRule="auto"/>
              <w:ind w:right="-42" w:rightChars="-20"/>
              <w:rPr>
                <w:rFonts w:eastAsia="仿宋_GB2312"/>
                <w:spacing w:val="-6"/>
                <w:kern w:val="0"/>
                <w:sz w:val="28"/>
                <w:szCs w:val="28"/>
              </w:rPr>
            </w:pPr>
          </w:p>
          <w:p>
            <w:pPr>
              <w:adjustRightInd w:val="0"/>
              <w:snapToGrid w:val="0"/>
              <w:spacing w:line="360" w:lineRule="auto"/>
              <w:ind w:left="-42" w:leftChars="-20" w:right="-42" w:rightChars="-20"/>
              <w:jc w:val="center"/>
              <w:rPr>
                <w:rFonts w:eastAsia="仿宋_GB2312"/>
                <w:spacing w:val="-6"/>
                <w:kern w:val="0"/>
                <w:sz w:val="28"/>
                <w:szCs w:val="28"/>
              </w:rPr>
            </w:pPr>
            <w:r>
              <w:rPr>
                <w:rFonts w:eastAsia="仿宋_GB2312"/>
                <w:spacing w:val="-6"/>
                <w:kern w:val="0"/>
                <w:sz w:val="28"/>
                <w:szCs w:val="28"/>
              </w:rPr>
              <w:t>X</w:t>
            </w: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spacing w:val="-6"/>
                <w:kern w:val="0"/>
                <w:sz w:val="28"/>
                <w:szCs w:val="28"/>
              </w:rPr>
            </w:pPr>
            <w:r>
              <w:rPr>
                <w:rFonts w:eastAsia="仿宋_GB2312"/>
                <w:spacing w:val="-6"/>
                <w:kern w:val="0"/>
                <w:sz w:val="28"/>
                <w:szCs w:val="28"/>
              </w:rPr>
              <w:t>X</w:t>
            </w:r>
          </w:p>
          <w:p>
            <w:pPr>
              <w:adjustRightInd w:val="0"/>
              <w:snapToGrid w:val="0"/>
              <w:spacing w:line="360" w:lineRule="auto"/>
              <w:ind w:left="-42" w:leftChars="-20" w:right="-42" w:rightChars="-20"/>
              <w:jc w:val="center"/>
              <w:rPr>
                <w:rFonts w:eastAsia="仿宋_GB2312"/>
                <w:spacing w:val="-6"/>
                <w:kern w:val="0"/>
                <w:sz w:val="28"/>
                <w:szCs w:val="28"/>
              </w:rPr>
            </w:pPr>
          </w:p>
          <w:p>
            <w:pPr>
              <w:adjustRightInd w:val="0"/>
              <w:snapToGrid w:val="0"/>
              <w:spacing w:line="360" w:lineRule="auto"/>
              <w:ind w:left="-42" w:leftChars="-20" w:right="-42" w:rightChars="-20"/>
              <w:jc w:val="center"/>
              <w:rPr>
                <w:rFonts w:eastAsia="仿宋_GB2312"/>
                <w:spacing w:val="-6"/>
                <w:kern w:val="0"/>
                <w:sz w:val="28"/>
                <w:szCs w:val="28"/>
              </w:rPr>
            </w:pPr>
            <w:r>
              <w:rPr>
                <w:rFonts w:eastAsia="仿宋_GB2312"/>
                <w:spacing w:val="-6"/>
                <w:kern w:val="0"/>
                <w:sz w:val="28"/>
                <w:szCs w:val="28"/>
              </w:rPr>
              <w:t>X</w:t>
            </w:r>
          </w:p>
          <w:p>
            <w:pPr>
              <w:adjustRightInd w:val="0"/>
              <w:snapToGrid w:val="0"/>
              <w:spacing w:line="360" w:lineRule="auto"/>
              <w:ind w:right="-42" w:rightChars="-20"/>
              <w:rPr>
                <w:rFonts w:eastAsia="仿宋_GB2312"/>
                <w:spacing w:val="-6"/>
                <w:kern w:val="0"/>
                <w:sz w:val="28"/>
                <w:szCs w:val="28"/>
              </w:rPr>
            </w:pPr>
          </w:p>
          <w:p>
            <w:pPr>
              <w:adjustRightInd w:val="0"/>
              <w:snapToGrid w:val="0"/>
              <w:spacing w:line="360" w:lineRule="auto"/>
              <w:ind w:left="-42" w:leftChars="-20" w:right="-42" w:rightChars="-20"/>
              <w:jc w:val="center"/>
              <w:rPr>
                <w:rFonts w:eastAsia="仿宋_GB2312"/>
                <w:spacing w:val="-6"/>
                <w:kern w:val="0"/>
                <w:sz w:val="28"/>
                <w:szCs w:val="28"/>
              </w:rPr>
            </w:pPr>
            <w:r>
              <w:rPr>
                <w:rFonts w:eastAsia="仿宋_GB2312"/>
                <w:spacing w:val="-6"/>
                <w:kern w:val="0"/>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360" w:lineRule="auto"/>
              <w:ind w:right="-42" w:rightChars="-20"/>
              <w:jc w:val="center"/>
              <w:rPr>
                <w:rFonts w:eastAsia="仿宋_GB2312"/>
                <w:spacing w:val="-6"/>
                <w:kern w:val="0"/>
                <w:sz w:val="28"/>
                <w:szCs w:val="28"/>
              </w:rPr>
            </w:pPr>
          </w:p>
        </w:tc>
        <w:tc>
          <w:tcPr>
            <w:tcW w:w="30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临床试验的财务合同</w:t>
            </w:r>
          </w:p>
        </w:tc>
        <w:tc>
          <w:tcPr>
            <w:tcW w:w="3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证明研究者及其供职的医疗机构与申办者之间的有关临床试验的财务规定，并签署合同</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spacing w:val="-6"/>
                <w:kern w:val="0"/>
                <w:sz w:val="28"/>
                <w:szCs w:val="28"/>
              </w:rPr>
            </w:pPr>
            <w:r>
              <w:rPr>
                <w:rFonts w:eastAsia="仿宋_GB2312"/>
                <w:spacing w:val="-6"/>
                <w:kern w:val="0"/>
                <w:sz w:val="28"/>
                <w:szCs w:val="28"/>
              </w:rPr>
              <w:t>X</w:t>
            </w: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spacing w:val="-6"/>
                <w:kern w:val="0"/>
                <w:sz w:val="28"/>
                <w:szCs w:val="28"/>
              </w:rPr>
            </w:pPr>
            <w:r>
              <w:rPr>
                <w:rFonts w:eastAsia="仿宋_GB2312"/>
                <w:spacing w:val="-6"/>
                <w:kern w:val="0"/>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360" w:lineRule="auto"/>
              <w:ind w:right="-42" w:rightChars="-20"/>
              <w:jc w:val="center"/>
              <w:rPr>
                <w:rFonts w:eastAsia="仿宋_GB2312"/>
                <w:spacing w:val="-6"/>
                <w:kern w:val="0"/>
                <w:sz w:val="28"/>
                <w:szCs w:val="28"/>
              </w:rPr>
            </w:pPr>
          </w:p>
        </w:tc>
        <w:tc>
          <w:tcPr>
            <w:tcW w:w="30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受试者保险的相关文件（如果有）</w:t>
            </w:r>
          </w:p>
        </w:tc>
        <w:tc>
          <w:tcPr>
            <w:tcW w:w="3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证明受试者发生与试验相关损害时，可获得补偿</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spacing w:val="-6"/>
                <w:kern w:val="0"/>
                <w:sz w:val="28"/>
                <w:szCs w:val="28"/>
              </w:rPr>
            </w:pPr>
            <w:r>
              <w:rPr>
                <w:rFonts w:eastAsia="仿宋_GB2312"/>
                <w:spacing w:val="-6"/>
                <w:kern w:val="0"/>
                <w:sz w:val="28"/>
                <w:szCs w:val="28"/>
              </w:rPr>
              <w:t>X</w:t>
            </w: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spacing w:val="-6"/>
                <w:kern w:val="0"/>
                <w:sz w:val="28"/>
                <w:szCs w:val="28"/>
              </w:rPr>
            </w:pPr>
            <w:r>
              <w:rPr>
                <w:rFonts w:eastAsia="仿宋_GB2312"/>
                <w:spacing w:val="-6"/>
                <w:kern w:val="0"/>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360" w:lineRule="auto"/>
              <w:ind w:right="-42" w:rightChars="-20"/>
              <w:jc w:val="center"/>
              <w:rPr>
                <w:rFonts w:eastAsia="仿宋_GB2312"/>
                <w:spacing w:val="-6"/>
                <w:kern w:val="0"/>
                <w:sz w:val="28"/>
                <w:szCs w:val="28"/>
              </w:rPr>
            </w:pPr>
          </w:p>
        </w:tc>
        <w:tc>
          <w:tcPr>
            <w:tcW w:w="30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right="-23"/>
              <w:rPr>
                <w:rFonts w:eastAsia="仿宋_GB2312"/>
                <w:spacing w:val="-6"/>
                <w:sz w:val="28"/>
                <w:szCs w:val="28"/>
              </w:rPr>
            </w:pPr>
            <w:r>
              <w:rPr>
                <w:rFonts w:eastAsia="仿宋_GB2312"/>
                <w:spacing w:val="-6"/>
                <w:sz w:val="28"/>
                <w:szCs w:val="28"/>
              </w:rPr>
              <w:t>参与临床试验各方之间签署的研究合同（或包括经费合同），包括：</w:t>
            </w:r>
          </w:p>
          <w:p>
            <w:pPr>
              <w:adjustRightInd w:val="0"/>
              <w:snapToGrid w:val="0"/>
              <w:spacing w:line="340" w:lineRule="exact"/>
              <w:ind w:right="-23"/>
              <w:rPr>
                <w:rFonts w:eastAsia="仿宋_GB2312"/>
                <w:spacing w:val="-6"/>
                <w:sz w:val="28"/>
                <w:szCs w:val="28"/>
              </w:rPr>
            </w:pPr>
            <w:r>
              <w:rPr>
                <w:rFonts w:eastAsia="仿宋_GB2312"/>
                <w:spacing w:val="-6"/>
                <w:sz w:val="28"/>
                <w:szCs w:val="28"/>
              </w:rPr>
              <w:t>— 研究者及其供职的医疗机构与申办者签署的合同</w:t>
            </w:r>
          </w:p>
          <w:p>
            <w:pPr>
              <w:adjustRightInd w:val="0"/>
              <w:snapToGrid w:val="0"/>
              <w:spacing w:line="276" w:lineRule="auto"/>
              <w:ind w:right="-20"/>
              <w:rPr>
                <w:rFonts w:eastAsia="仿宋_GB2312"/>
                <w:spacing w:val="-6"/>
                <w:sz w:val="28"/>
                <w:szCs w:val="28"/>
              </w:rPr>
            </w:pPr>
            <w:r>
              <w:rPr>
                <w:rFonts w:eastAsia="仿宋_GB2312"/>
                <w:spacing w:val="-6"/>
                <w:sz w:val="28"/>
                <w:szCs w:val="28"/>
              </w:rPr>
              <w:t>—研究者及其供职的医疗机构与CRO签署的合同</w:t>
            </w:r>
          </w:p>
          <w:p>
            <w:pPr>
              <w:adjustRightInd w:val="0"/>
              <w:snapToGrid w:val="0"/>
              <w:spacing w:line="276" w:lineRule="auto"/>
              <w:ind w:right="-20"/>
              <w:rPr>
                <w:rFonts w:eastAsia="仿宋_GB2312"/>
                <w:spacing w:val="-6"/>
                <w:sz w:val="28"/>
                <w:szCs w:val="28"/>
              </w:rPr>
            </w:pPr>
            <w:r>
              <w:rPr>
                <w:rFonts w:eastAsia="仿宋_GB2312"/>
                <w:spacing w:val="-6"/>
                <w:sz w:val="28"/>
                <w:szCs w:val="28"/>
              </w:rPr>
              <w:t>— 申办者与CRO签署的合同</w:t>
            </w:r>
          </w:p>
          <w:p>
            <w:pPr>
              <w:adjustRightInd w:val="0"/>
              <w:snapToGrid w:val="0"/>
              <w:spacing w:line="360" w:lineRule="auto"/>
              <w:ind w:right="-20"/>
              <w:rPr>
                <w:rFonts w:eastAsia="仿宋_GB2312"/>
                <w:spacing w:val="-6"/>
                <w:sz w:val="28"/>
                <w:szCs w:val="28"/>
              </w:rPr>
            </w:pPr>
            <w:r>
              <w:rPr>
                <w:rFonts w:eastAsia="仿宋_GB2312"/>
                <w:spacing w:val="-6"/>
                <w:sz w:val="28"/>
                <w:szCs w:val="28"/>
              </w:rPr>
              <w:t>—研究者及其供职的医疗机构与管理部门签署的合同（必要时）</w:t>
            </w:r>
          </w:p>
        </w:tc>
        <w:tc>
          <w:tcPr>
            <w:tcW w:w="3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证明签署了合同</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spacing w:val="-6"/>
                <w:kern w:val="0"/>
                <w:sz w:val="28"/>
                <w:szCs w:val="28"/>
              </w:rPr>
            </w:pPr>
          </w:p>
          <w:p>
            <w:pPr>
              <w:adjustRightInd w:val="0"/>
              <w:snapToGrid w:val="0"/>
              <w:spacing w:line="360" w:lineRule="auto"/>
              <w:ind w:left="-42" w:leftChars="-20" w:right="-42" w:rightChars="-20"/>
              <w:jc w:val="center"/>
              <w:rPr>
                <w:rFonts w:eastAsia="仿宋_GB2312"/>
                <w:spacing w:val="-6"/>
                <w:kern w:val="0"/>
                <w:sz w:val="28"/>
                <w:szCs w:val="28"/>
              </w:rPr>
            </w:pPr>
          </w:p>
          <w:p>
            <w:pPr>
              <w:adjustRightInd w:val="0"/>
              <w:snapToGrid w:val="0"/>
              <w:spacing w:line="360" w:lineRule="auto"/>
              <w:ind w:left="-42" w:leftChars="-20" w:right="-42" w:rightChars="-20"/>
              <w:jc w:val="center"/>
              <w:rPr>
                <w:rFonts w:eastAsia="仿宋_GB2312"/>
                <w:spacing w:val="-6"/>
                <w:kern w:val="0"/>
                <w:sz w:val="28"/>
                <w:szCs w:val="28"/>
              </w:rPr>
            </w:pPr>
            <w:r>
              <w:rPr>
                <w:rFonts w:eastAsia="仿宋_GB2312"/>
                <w:spacing w:val="-6"/>
                <w:kern w:val="0"/>
                <w:sz w:val="28"/>
                <w:szCs w:val="28"/>
              </w:rPr>
              <w:t>X</w:t>
            </w:r>
          </w:p>
          <w:p>
            <w:pPr>
              <w:adjustRightInd w:val="0"/>
              <w:snapToGrid w:val="0"/>
              <w:spacing w:line="360" w:lineRule="auto"/>
              <w:ind w:left="-42" w:leftChars="-20" w:right="-42" w:rightChars="-20"/>
              <w:jc w:val="center"/>
              <w:rPr>
                <w:rFonts w:eastAsia="仿宋_GB2312"/>
                <w:spacing w:val="-6"/>
                <w:kern w:val="0"/>
                <w:sz w:val="28"/>
                <w:szCs w:val="28"/>
              </w:rPr>
            </w:pPr>
          </w:p>
          <w:p>
            <w:pPr>
              <w:adjustRightInd w:val="0"/>
              <w:snapToGrid w:val="0"/>
              <w:spacing w:line="360" w:lineRule="auto"/>
              <w:ind w:left="-42" w:leftChars="-20" w:right="-42" w:rightChars="-20"/>
              <w:jc w:val="center"/>
              <w:rPr>
                <w:rFonts w:eastAsia="仿宋_GB2312"/>
                <w:spacing w:val="-6"/>
                <w:kern w:val="0"/>
                <w:sz w:val="28"/>
                <w:szCs w:val="28"/>
              </w:rPr>
            </w:pPr>
            <w:r>
              <w:rPr>
                <w:rFonts w:eastAsia="仿宋_GB2312"/>
                <w:spacing w:val="-6"/>
                <w:kern w:val="0"/>
                <w:sz w:val="28"/>
                <w:szCs w:val="28"/>
              </w:rPr>
              <w:t>X</w:t>
            </w:r>
          </w:p>
          <w:p>
            <w:pPr>
              <w:adjustRightInd w:val="0"/>
              <w:snapToGrid w:val="0"/>
              <w:spacing w:line="360" w:lineRule="auto"/>
              <w:ind w:left="-42" w:leftChars="-20" w:right="-42" w:rightChars="-20"/>
              <w:jc w:val="center"/>
              <w:rPr>
                <w:rFonts w:eastAsia="仿宋_GB2312"/>
                <w:spacing w:val="-6"/>
                <w:kern w:val="0"/>
                <w:sz w:val="28"/>
                <w:szCs w:val="28"/>
              </w:rPr>
            </w:pPr>
          </w:p>
          <w:p>
            <w:pPr>
              <w:adjustRightInd w:val="0"/>
              <w:snapToGrid w:val="0"/>
              <w:spacing w:line="360" w:lineRule="auto"/>
              <w:ind w:left="-42" w:leftChars="-20" w:right="-42" w:rightChars="-20"/>
              <w:jc w:val="center"/>
              <w:rPr>
                <w:rFonts w:eastAsia="仿宋_GB2312"/>
                <w:spacing w:val="-6"/>
                <w:kern w:val="0"/>
                <w:sz w:val="28"/>
                <w:szCs w:val="28"/>
              </w:rPr>
            </w:pPr>
          </w:p>
          <w:p>
            <w:pPr>
              <w:adjustRightInd w:val="0"/>
              <w:snapToGrid w:val="0"/>
              <w:spacing w:line="360" w:lineRule="auto"/>
              <w:ind w:left="-42" w:leftChars="-20" w:right="-42" w:rightChars="-20"/>
              <w:jc w:val="center"/>
              <w:rPr>
                <w:rFonts w:eastAsia="仿宋_GB2312"/>
                <w:spacing w:val="-6"/>
                <w:kern w:val="0"/>
                <w:sz w:val="28"/>
                <w:szCs w:val="28"/>
              </w:rPr>
            </w:pPr>
          </w:p>
          <w:p>
            <w:pPr>
              <w:adjustRightInd w:val="0"/>
              <w:snapToGrid w:val="0"/>
              <w:spacing w:line="360" w:lineRule="auto"/>
              <w:ind w:left="-42" w:leftChars="-20" w:right="-42" w:rightChars="-20"/>
              <w:jc w:val="center"/>
              <w:rPr>
                <w:rFonts w:eastAsia="仿宋_GB2312"/>
                <w:spacing w:val="-6"/>
                <w:kern w:val="0"/>
                <w:sz w:val="28"/>
                <w:szCs w:val="28"/>
              </w:rPr>
            </w:pPr>
          </w:p>
          <w:p>
            <w:pPr>
              <w:adjustRightInd w:val="0"/>
              <w:snapToGrid w:val="0"/>
              <w:spacing w:line="360" w:lineRule="auto"/>
              <w:ind w:left="-42" w:leftChars="-20" w:right="-42" w:rightChars="-20"/>
              <w:jc w:val="center"/>
              <w:rPr>
                <w:rFonts w:eastAsia="仿宋_GB2312"/>
                <w:spacing w:val="-6"/>
                <w:kern w:val="0"/>
                <w:sz w:val="28"/>
                <w:szCs w:val="28"/>
              </w:rPr>
            </w:pPr>
            <w:r>
              <w:rPr>
                <w:rFonts w:eastAsia="仿宋_GB2312"/>
                <w:spacing w:val="-6"/>
                <w:kern w:val="0"/>
                <w:sz w:val="28"/>
                <w:szCs w:val="28"/>
              </w:rPr>
              <w:t>X</w:t>
            </w:r>
          </w:p>
          <w:p>
            <w:pPr>
              <w:adjustRightInd w:val="0"/>
              <w:snapToGrid w:val="0"/>
              <w:spacing w:line="360" w:lineRule="auto"/>
              <w:ind w:left="-42" w:leftChars="-20" w:right="-42" w:rightChars="-20"/>
              <w:jc w:val="center"/>
              <w:rPr>
                <w:rFonts w:eastAsia="仿宋_GB2312"/>
                <w:spacing w:val="-6"/>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spacing w:val="-6"/>
                <w:kern w:val="0"/>
                <w:sz w:val="28"/>
                <w:szCs w:val="28"/>
              </w:rPr>
            </w:pPr>
          </w:p>
          <w:p>
            <w:pPr>
              <w:adjustRightInd w:val="0"/>
              <w:snapToGrid w:val="0"/>
              <w:spacing w:line="360" w:lineRule="auto"/>
              <w:ind w:left="-42" w:leftChars="-20" w:right="-42" w:rightChars="-20"/>
              <w:jc w:val="center"/>
              <w:rPr>
                <w:rFonts w:eastAsia="仿宋_GB2312"/>
                <w:spacing w:val="-6"/>
                <w:kern w:val="0"/>
                <w:sz w:val="28"/>
                <w:szCs w:val="28"/>
              </w:rPr>
            </w:pPr>
          </w:p>
          <w:p>
            <w:pPr>
              <w:adjustRightInd w:val="0"/>
              <w:snapToGrid w:val="0"/>
              <w:spacing w:line="360" w:lineRule="auto"/>
              <w:ind w:left="-42" w:leftChars="-20" w:right="-42" w:rightChars="-20"/>
              <w:jc w:val="center"/>
              <w:rPr>
                <w:rFonts w:eastAsia="仿宋_GB2312"/>
                <w:spacing w:val="-6"/>
                <w:kern w:val="0"/>
                <w:sz w:val="28"/>
                <w:szCs w:val="28"/>
              </w:rPr>
            </w:pPr>
            <w:r>
              <w:rPr>
                <w:rFonts w:eastAsia="仿宋_GB2312"/>
                <w:spacing w:val="-6"/>
                <w:kern w:val="0"/>
                <w:sz w:val="28"/>
                <w:szCs w:val="28"/>
              </w:rPr>
              <w:t>X</w:t>
            </w:r>
          </w:p>
          <w:p>
            <w:pPr>
              <w:adjustRightInd w:val="0"/>
              <w:snapToGrid w:val="0"/>
              <w:spacing w:line="360" w:lineRule="auto"/>
              <w:ind w:left="-42" w:leftChars="-20" w:right="-42" w:rightChars="-20"/>
              <w:jc w:val="center"/>
              <w:rPr>
                <w:rFonts w:eastAsia="仿宋_GB2312"/>
                <w:spacing w:val="-6"/>
                <w:kern w:val="0"/>
                <w:sz w:val="28"/>
                <w:szCs w:val="28"/>
              </w:rPr>
            </w:pPr>
          </w:p>
          <w:p>
            <w:pPr>
              <w:adjustRightInd w:val="0"/>
              <w:snapToGrid w:val="0"/>
              <w:spacing w:line="360" w:lineRule="auto"/>
              <w:ind w:left="-42" w:leftChars="-20" w:right="-42" w:rightChars="-20"/>
              <w:jc w:val="center"/>
              <w:rPr>
                <w:rFonts w:eastAsia="仿宋_GB2312"/>
                <w:spacing w:val="-6"/>
                <w:kern w:val="0"/>
                <w:sz w:val="28"/>
                <w:szCs w:val="28"/>
              </w:rPr>
            </w:pPr>
            <w:r>
              <w:rPr>
                <w:rFonts w:eastAsia="仿宋_GB2312"/>
                <w:spacing w:val="-6"/>
                <w:kern w:val="0"/>
                <w:sz w:val="28"/>
                <w:szCs w:val="28"/>
              </w:rPr>
              <w:t>X（必要时）</w:t>
            </w:r>
          </w:p>
          <w:p>
            <w:pPr>
              <w:adjustRightInd w:val="0"/>
              <w:snapToGrid w:val="0"/>
              <w:spacing w:line="360" w:lineRule="auto"/>
              <w:ind w:left="-42" w:leftChars="-20" w:right="-42" w:rightChars="-20"/>
              <w:jc w:val="center"/>
              <w:rPr>
                <w:rFonts w:eastAsia="仿宋_GB2312"/>
                <w:spacing w:val="-6"/>
                <w:kern w:val="0"/>
                <w:sz w:val="28"/>
                <w:szCs w:val="28"/>
              </w:rPr>
            </w:pPr>
          </w:p>
          <w:p>
            <w:pPr>
              <w:adjustRightInd w:val="0"/>
              <w:snapToGrid w:val="0"/>
              <w:spacing w:line="360" w:lineRule="auto"/>
              <w:ind w:left="-42" w:leftChars="-20" w:right="-42" w:rightChars="-20"/>
              <w:jc w:val="center"/>
              <w:rPr>
                <w:rFonts w:eastAsia="仿宋_GB2312"/>
                <w:spacing w:val="-6"/>
                <w:kern w:val="0"/>
                <w:sz w:val="28"/>
                <w:szCs w:val="28"/>
              </w:rPr>
            </w:pPr>
            <w:r>
              <w:rPr>
                <w:rFonts w:eastAsia="仿宋_GB2312"/>
                <w:spacing w:val="-6"/>
                <w:kern w:val="0"/>
                <w:sz w:val="28"/>
                <w:szCs w:val="28"/>
              </w:rPr>
              <w:t>X</w:t>
            </w:r>
          </w:p>
          <w:p>
            <w:pPr>
              <w:adjustRightInd w:val="0"/>
              <w:snapToGrid w:val="0"/>
              <w:spacing w:line="360" w:lineRule="auto"/>
              <w:ind w:left="-42" w:leftChars="-20" w:right="-42" w:rightChars="-20"/>
              <w:jc w:val="center"/>
              <w:rPr>
                <w:rFonts w:eastAsia="仿宋_GB2312"/>
                <w:spacing w:val="-6"/>
                <w:kern w:val="0"/>
                <w:sz w:val="28"/>
                <w:szCs w:val="28"/>
              </w:rPr>
            </w:pPr>
          </w:p>
          <w:p>
            <w:pPr>
              <w:adjustRightInd w:val="0"/>
              <w:snapToGrid w:val="0"/>
              <w:spacing w:line="360" w:lineRule="auto"/>
              <w:ind w:left="-42" w:leftChars="-20" w:right="-42" w:rightChars="-20"/>
              <w:jc w:val="center"/>
              <w:rPr>
                <w:rFonts w:eastAsia="仿宋_GB2312"/>
                <w:spacing w:val="-6"/>
                <w:kern w:val="0"/>
                <w:sz w:val="28"/>
                <w:szCs w:val="28"/>
              </w:rPr>
            </w:pPr>
            <w:r>
              <w:rPr>
                <w:rFonts w:eastAsia="仿宋_GB2312"/>
                <w:spacing w:val="-6"/>
                <w:kern w:val="0"/>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360" w:lineRule="auto"/>
              <w:ind w:right="-42" w:rightChars="-20"/>
              <w:jc w:val="center"/>
              <w:rPr>
                <w:rFonts w:eastAsia="仿宋_GB2312"/>
                <w:spacing w:val="-6"/>
                <w:kern w:val="0"/>
                <w:sz w:val="28"/>
                <w:szCs w:val="28"/>
              </w:rPr>
            </w:pPr>
          </w:p>
        </w:tc>
        <w:tc>
          <w:tcPr>
            <w:tcW w:w="30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伦理委员会对以下各项内容的书面审查、批准文件，具签名、注明日期</w:t>
            </w:r>
          </w:p>
          <w:p>
            <w:pPr>
              <w:adjustRightInd w:val="0"/>
              <w:snapToGrid w:val="0"/>
              <w:spacing w:line="276" w:lineRule="auto"/>
              <w:ind w:right="-20"/>
              <w:rPr>
                <w:rFonts w:eastAsia="仿宋_GB2312"/>
                <w:spacing w:val="-6"/>
                <w:sz w:val="28"/>
                <w:szCs w:val="28"/>
              </w:rPr>
            </w:pPr>
            <w:r>
              <w:rPr>
                <w:rFonts w:eastAsia="仿宋_GB2312"/>
                <w:spacing w:val="-6"/>
                <w:sz w:val="28"/>
                <w:szCs w:val="28"/>
              </w:rPr>
              <w:t>—试验方案及其方案修正案</w:t>
            </w:r>
          </w:p>
          <w:p>
            <w:pPr>
              <w:adjustRightInd w:val="0"/>
              <w:snapToGrid w:val="0"/>
              <w:spacing w:line="276" w:lineRule="auto"/>
              <w:ind w:right="-20"/>
              <w:rPr>
                <w:rFonts w:eastAsia="仿宋_GB2312"/>
                <w:spacing w:val="-6"/>
                <w:sz w:val="28"/>
                <w:szCs w:val="28"/>
              </w:rPr>
            </w:pPr>
            <w:r>
              <w:rPr>
                <w:rFonts w:eastAsia="仿宋_GB2312"/>
                <w:spacing w:val="-6"/>
                <w:sz w:val="28"/>
                <w:szCs w:val="28"/>
              </w:rPr>
              <w:t>—CRF样本</w:t>
            </w:r>
          </w:p>
          <w:p>
            <w:pPr>
              <w:adjustRightInd w:val="0"/>
              <w:snapToGrid w:val="0"/>
              <w:spacing w:line="276" w:lineRule="auto"/>
              <w:ind w:right="-20"/>
              <w:rPr>
                <w:rFonts w:eastAsia="仿宋_GB2312"/>
                <w:spacing w:val="-6"/>
                <w:sz w:val="28"/>
                <w:szCs w:val="28"/>
              </w:rPr>
            </w:pPr>
            <w:r>
              <w:rPr>
                <w:rFonts w:eastAsia="仿宋_GB2312"/>
                <w:spacing w:val="-6"/>
                <w:sz w:val="28"/>
                <w:szCs w:val="28"/>
              </w:rPr>
              <w:t>—知情同意书</w:t>
            </w:r>
          </w:p>
          <w:p>
            <w:pPr>
              <w:adjustRightInd w:val="0"/>
              <w:snapToGrid w:val="0"/>
              <w:spacing w:line="276" w:lineRule="auto"/>
              <w:ind w:right="-20"/>
              <w:rPr>
                <w:rFonts w:eastAsia="仿宋_GB2312"/>
                <w:spacing w:val="-6"/>
                <w:sz w:val="28"/>
                <w:szCs w:val="28"/>
              </w:rPr>
            </w:pPr>
            <w:r>
              <w:rPr>
                <w:rFonts w:eastAsia="仿宋_GB2312"/>
                <w:spacing w:val="-6"/>
                <w:sz w:val="28"/>
                <w:szCs w:val="28"/>
              </w:rPr>
              <w:t>—其他提供给受试者的任何书面资料</w:t>
            </w:r>
          </w:p>
          <w:p>
            <w:pPr>
              <w:adjustRightInd w:val="0"/>
              <w:snapToGrid w:val="0"/>
              <w:spacing w:line="276" w:lineRule="auto"/>
              <w:ind w:right="-20"/>
              <w:rPr>
                <w:rFonts w:eastAsia="仿宋_GB2312"/>
                <w:spacing w:val="-6"/>
                <w:sz w:val="28"/>
                <w:szCs w:val="28"/>
              </w:rPr>
            </w:pPr>
            <w:r>
              <w:rPr>
                <w:rFonts w:eastAsia="仿宋_GB2312"/>
                <w:spacing w:val="-6"/>
                <w:sz w:val="28"/>
                <w:szCs w:val="28"/>
              </w:rPr>
              <w:t>—受试者的招募广告（若使用）</w:t>
            </w:r>
          </w:p>
          <w:p>
            <w:pPr>
              <w:adjustRightInd w:val="0"/>
              <w:snapToGrid w:val="0"/>
              <w:spacing w:line="276" w:lineRule="auto"/>
              <w:ind w:right="-20"/>
              <w:rPr>
                <w:rFonts w:eastAsia="仿宋_GB2312"/>
                <w:spacing w:val="-6"/>
                <w:sz w:val="28"/>
                <w:szCs w:val="28"/>
              </w:rPr>
            </w:pPr>
            <w:r>
              <w:rPr>
                <w:rFonts w:eastAsia="仿宋_GB2312"/>
                <w:spacing w:val="-6"/>
                <w:sz w:val="28"/>
                <w:szCs w:val="28"/>
              </w:rPr>
              <w:t>—对受试者的补偿（包括补偿的所有方式）</w:t>
            </w:r>
          </w:p>
          <w:p>
            <w:pPr>
              <w:adjustRightInd w:val="0"/>
              <w:snapToGrid w:val="0"/>
              <w:spacing w:line="276" w:lineRule="auto"/>
              <w:ind w:right="-20"/>
              <w:rPr>
                <w:rFonts w:eastAsia="仿宋_GB2312"/>
                <w:spacing w:val="-6"/>
                <w:sz w:val="28"/>
                <w:szCs w:val="28"/>
              </w:rPr>
            </w:pPr>
            <w:r>
              <w:rPr>
                <w:rFonts w:eastAsia="仿宋_GB2312"/>
                <w:spacing w:val="-6"/>
                <w:sz w:val="28"/>
                <w:szCs w:val="28"/>
              </w:rPr>
              <w:t>—伦理委员会任何其他审查，批准的文件</w:t>
            </w:r>
          </w:p>
        </w:tc>
        <w:tc>
          <w:tcPr>
            <w:tcW w:w="3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证明临床试验经过伦理委员会的审查、批准。确认文件的版本号和日期</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spacing w:val="-6"/>
                <w:kern w:val="0"/>
                <w:sz w:val="28"/>
                <w:szCs w:val="28"/>
              </w:rPr>
            </w:pPr>
            <w:r>
              <w:rPr>
                <w:rFonts w:eastAsia="仿宋_GB2312"/>
                <w:spacing w:val="-6"/>
                <w:kern w:val="0"/>
                <w:sz w:val="28"/>
                <w:szCs w:val="28"/>
              </w:rPr>
              <w:t>X</w:t>
            </w: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spacing w:val="-6"/>
                <w:kern w:val="0"/>
                <w:sz w:val="28"/>
                <w:szCs w:val="28"/>
              </w:rPr>
            </w:pPr>
            <w:r>
              <w:rPr>
                <w:rFonts w:eastAsia="仿宋_GB2312"/>
                <w:spacing w:val="-6"/>
                <w:kern w:val="0"/>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360" w:lineRule="auto"/>
              <w:ind w:right="-42" w:rightChars="-20"/>
              <w:jc w:val="center"/>
              <w:rPr>
                <w:rFonts w:eastAsia="仿宋_GB2312"/>
                <w:spacing w:val="-6"/>
                <w:kern w:val="0"/>
                <w:sz w:val="28"/>
                <w:szCs w:val="28"/>
              </w:rPr>
            </w:pPr>
          </w:p>
        </w:tc>
        <w:tc>
          <w:tcPr>
            <w:tcW w:w="30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伦理委员会的人员组成</w:t>
            </w:r>
          </w:p>
        </w:tc>
        <w:tc>
          <w:tcPr>
            <w:tcW w:w="3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证明伦理委员会的人员组成符合GCP要求</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spacing w:val="-6"/>
                <w:kern w:val="0"/>
                <w:sz w:val="28"/>
                <w:szCs w:val="28"/>
              </w:rPr>
            </w:pPr>
            <w:r>
              <w:rPr>
                <w:rFonts w:eastAsia="仿宋_GB2312"/>
                <w:spacing w:val="-6"/>
                <w:kern w:val="0"/>
                <w:sz w:val="28"/>
                <w:szCs w:val="28"/>
              </w:rPr>
              <w:t>X</w:t>
            </w: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spacing w:val="-6"/>
                <w:kern w:val="0"/>
                <w:sz w:val="28"/>
                <w:szCs w:val="28"/>
              </w:rPr>
            </w:pPr>
            <w:r>
              <w:rPr>
                <w:rFonts w:eastAsia="仿宋_GB2312"/>
                <w:spacing w:val="-6"/>
                <w:kern w:val="0"/>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360" w:lineRule="auto"/>
              <w:ind w:right="-42" w:rightChars="-20"/>
              <w:jc w:val="center"/>
              <w:rPr>
                <w:rFonts w:eastAsia="仿宋_GB2312"/>
                <w:spacing w:val="-6"/>
                <w:kern w:val="0"/>
                <w:sz w:val="28"/>
                <w:szCs w:val="28"/>
              </w:rPr>
            </w:pPr>
          </w:p>
        </w:tc>
        <w:tc>
          <w:tcPr>
            <w:tcW w:w="30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药品监督管理部门对临床试验方案的批准、备案</w:t>
            </w:r>
          </w:p>
        </w:tc>
        <w:tc>
          <w:tcPr>
            <w:tcW w:w="3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证明在临床试验开始前，获得了药品监督管理部门的批准、备案</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spacing w:val="-6"/>
                <w:kern w:val="0"/>
                <w:sz w:val="28"/>
                <w:szCs w:val="28"/>
              </w:rPr>
            </w:pPr>
            <w:r>
              <w:rPr>
                <w:rFonts w:eastAsia="仿宋_GB2312"/>
                <w:spacing w:val="-6"/>
                <w:kern w:val="0"/>
                <w:sz w:val="28"/>
                <w:szCs w:val="28"/>
              </w:rPr>
              <w:t>X</w:t>
            </w: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spacing w:val="-6"/>
                <w:kern w:val="0"/>
                <w:sz w:val="28"/>
                <w:szCs w:val="28"/>
              </w:rPr>
            </w:pPr>
            <w:r>
              <w:rPr>
                <w:rFonts w:eastAsia="仿宋_GB2312"/>
                <w:spacing w:val="-6"/>
                <w:kern w:val="0"/>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360" w:lineRule="auto"/>
              <w:ind w:right="-42" w:rightChars="-20"/>
              <w:jc w:val="center"/>
              <w:rPr>
                <w:rFonts w:eastAsia="仿宋_GB2312"/>
                <w:spacing w:val="-6"/>
                <w:kern w:val="0"/>
                <w:sz w:val="28"/>
                <w:szCs w:val="28"/>
              </w:rPr>
            </w:pPr>
          </w:p>
        </w:tc>
        <w:tc>
          <w:tcPr>
            <w:tcW w:w="30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研究者和次要研究者签名的履历和其他的资格证明文件</w:t>
            </w:r>
          </w:p>
        </w:tc>
        <w:tc>
          <w:tcPr>
            <w:tcW w:w="3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证明研究者和次要研究者有资质和能力完成该临床试验，和能够对受试者进行医疗监管</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spacing w:val="-6"/>
                <w:kern w:val="0"/>
                <w:sz w:val="28"/>
                <w:szCs w:val="28"/>
              </w:rPr>
            </w:pPr>
            <w:r>
              <w:rPr>
                <w:rFonts w:eastAsia="仿宋_GB2312"/>
                <w:spacing w:val="-6"/>
                <w:kern w:val="0"/>
                <w:sz w:val="28"/>
                <w:szCs w:val="28"/>
              </w:rPr>
              <w:t>X</w:t>
            </w: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spacing w:val="-6"/>
                <w:kern w:val="0"/>
                <w:sz w:val="28"/>
                <w:szCs w:val="28"/>
              </w:rPr>
            </w:pPr>
            <w:r>
              <w:rPr>
                <w:rFonts w:eastAsia="仿宋_GB2312"/>
                <w:spacing w:val="-6"/>
                <w:kern w:val="0"/>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360" w:lineRule="auto"/>
              <w:ind w:right="-42" w:rightChars="-20"/>
              <w:jc w:val="center"/>
              <w:rPr>
                <w:rFonts w:eastAsia="仿宋_GB2312"/>
                <w:spacing w:val="-6"/>
                <w:kern w:val="0"/>
                <w:sz w:val="28"/>
                <w:szCs w:val="28"/>
              </w:rPr>
            </w:pPr>
          </w:p>
        </w:tc>
        <w:tc>
          <w:tcPr>
            <w:tcW w:w="30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在临床试验方案中涉及的医学、实验室、专业技术操作和相关检测的参考值和参考值范围</w:t>
            </w:r>
          </w:p>
        </w:tc>
        <w:tc>
          <w:tcPr>
            <w:tcW w:w="3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证明各项检测的参考值和参考值范围及有效期</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spacing w:val="-6"/>
                <w:kern w:val="0"/>
                <w:sz w:val="28"/>
                <w:szCs w:val="28"/>
              </w:rPr>
            </w:pPr>
            <w:r>
              <w:rPr>
                <w:rFonts w:eastAsia="仿宋_GB2312"/>
                <w:spacing w:val="-6"/>
                <w:kern w:val="0"/>
                <w:sz w:val="28"/>
                <w:szCs w:val="28"/>
              </w:rPr>
              <w:t>X</w:t>
            </w: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spacing w:val="-6"/>
                <w:kern w:val="0"/>
                <w:sz w:val="28"/>
                <w:szCs w:val="28"/>
              </w:rPr>
            </w:pPr>
            <w:r>
              <w:rPr>
                <w:rFonts w:eastAsia="仿宋_GB2312"/>
                <w:spacing w:val="-6"/>
                <w:kern w:val="0"/>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360" w:lineRule="auto"/>
              <w:ind w:right="-42" w:rightChars="-20"/>
              <w:jc w:val="center"/>
              <w:rPr>
                <w:rFonts w:eastAsia="仿宋_GB2312"/>
                <w:spacing w:val="-6"/>
                <w:kern w:val="0"/>
                <w:sz w:val="28"/>
                <w:szCs w:val="28"/>
              </w:rPr>
            </w:pPr>
          </w:p>
        </w:tc>
        <w:tc>
          <w:tcPr>
            <w:tcW w:w="30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医学、实验室、专业技术操作和相关检测的资质证明</w:t>
            </w:r>
          </w:p>
          <w:p>
            <w:pPr>
              <w:adjustRightInd w:val="0"/>
              <w:snapToGrid w:val="0"/>
              <w:spacing w:line="276" w:lineRule="auto"/>
              <w:ind w:right="-20"/>
              <w:rPr>
                <w:rFonts w:eastAsia="仿宋_GB2312"/>
                <w:spacing w:val="-6"/>
                <w:sz w:val="28"/>
                <w:szCs w:val="28"/>
              </w:rPr>
            </w:pPr>
            <w:r>
              <w:rPr>
                <w:rFonts w:eastAsia="仿宋_GB2312"/>
                <w:spacing w:val="-6"/>
                <w:sz w:val="28"/>
                <w:szCs w:val="28"/>
              </w:rPr>
              <w:t>— 资质认可证书</w:t>
            </w:r>
          </w:p>
          <w:p>
            <w:pPr>
              <w:adjustRightInd w:val="0"/>
              <w:snapToGrid w:val="0"/>
              <w:spacing w:line="276" w:lineRule="auto"/>
              <w:ind w:right="-20"/>
              <w:rPr>
                <w:rFonts w:eastAsia="仿宋_GB2312"/>
                <w:spacing w:val="-6"/>
                <w:sz w:val="28"/>
                <w:szCs w:val="28"/>
              </w:rPr>
            </w:pPr>
            <w:r>
              <w:rPr>
                <w:rFonts w:eastAsia="仿宋_GB2312"/>
                <w:spacing w:val="-6"/>
                <w:sz w:val="28"/>
                <w:szCs w:val="28"/>
              </w:rPr>
              <w:t>— 资质认证证书</w:t>
            </w:r>
          </w:p>
          <w:p>
            <w:pPr>
              <w:adjustRightInd w:val="0"/>
              <w:snapToGrid w:val="0"/>
              <w:spacing w:line="276" w:lineRule="auto"/>
              <w:ind w:right="-20"/>
              <w:rPr>
                <w:rFonts w:eastAsia="仿宋_GB2312"/>
                <w:spacing w:val="-6"/>
                <w:sz w:val="28"/>
                <w:szCs w:val="28"/>
              </w:rPr>
            </w:pPr>
            <w:r>
              <w:rPr>
                <w:rFonts w:eastAsia="仿宋_GB2312"/>
                <w:spacing w:val="-6"/>
                <w:sz w:val="28"/>
                <w:szCs w:val="28"/>
              </w:rPr>
              <w:t>— 已建立质量控制体系和/或外部质量评价体系</w:t>
            </w:r>
          </w:p>
          <w:p>
            <w:pPr>
              <w:adjustRightInd w:val="0"/>
              <w:snapToGrid w:val="0"/>
              <w:spacing w:line="276" w:lineRule="auto"/>
              <w:ind w:right="-20"/>
              <w:rPr>
                <w:rFonts w:eastAsia="仿宋_GB2312"/>
                <w:spacing w:val="-6"/>
                <w:sz w:val="28"/>
                <w:szCs w:val="28"/>
              </w:rPr>
            </w:pPr>
            <w:r>
              <w:rPr>
                <w:rFonts w:eastAsia="仿宋_GB2312"/>
                <w:spacing w:val="-6"/>
                <w:sz w:val="28"/>
                <w:szCs w:val="28"/>
              </w:rPr>
              <w:t>— 其他验证体系</w:t>
            </w:r>
          </w:p>
        </w:tc>
        <w:tc>
          <w:tcPr>
            <w:tcW w:w="3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证明完成试验的医学、实验室、专业技术操作和相关检测设施和能力能够满足要求，保证检测结果的可靠性</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spacing w:val="-6"/>
                <w:kern w:val="0"/>
                <w:sz w:val="28"/>
                <w:szCs w:val="28"/>
              </w:rPr>
            </w:pPr>
            <w:r>
              <w:rPr>
                <w:rFonts w:eastAsia="仿宋_GB2312"/>
                <w:spacing w:val="-6"/>
                <w:kern w:val="0"/>
                <w:sz w:val="28"/>
                <w:szCs w:val="28"/>
              </w:rPr>
              <w:t>X（必要时）</w:t>
            </w: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spacing w:val="-6"/>
                <w:kern w:val="0"/>
                <w:sz w:val="28"/>
                <w:szCs w:val="28"/>
              </w:rPr>
            </w:pPr>
            <w:r>
              <w:rPr>
                <w:rFonts w:eastAsia="仿宋_GB2312"/>
                <w:spacing w:val="-6"/>
                <w:kern w:val="0"/>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360" w:lineRule="auto"/>
              <w:ind w:right="-42" w:rightChars="-20"/>
              <w:jc w:val="center"/>
              <w:rPr>
                <w:rFonts w:eastAsia="仿宋_GB2312"/>
                <w:spacing w:val="-6"/>
                <w:kern w:val="0"/>
                <w:sz w:val="28"/>
                <w:szCs w:val="28"/>
              </w:rPr>
            </w:pPr>
          </w:p>
        </w:tc>
        <w:tc>
          <w:tcPr>
            <w:tcW w:w="30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拟定的试验用药品的说明书和标签</w:t>
            </w:r>
          </w:p>
        </w:tc>
        <w:tc>
          <w:tcPr>
            <w:tcW w:w="3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left="-42" w:leftChars="-20" w:right="-20"/>
              <w:rPr>
                <w:rFonts w:eastAsia="仿宋_GB2312"/>
                <w:spacing w:val="-6"/>
                <w:sz w:val="28"/>
                <w:szCs w:val="28"/>
              </w:rPr>
            </w:pPr>
            <w:r>
              <w:rPr>
                <w:rFonts w:eastAsia="仿宋_GB2312"/>
                <w:spacing w:val="-6"/>
                <w:sz w:val="28"/>
                <w:szCs w:val="28"/>
              </w:rPr>
              <w:t>证</w:t>
            </w:r>
            <w:r>
              <w:rPr>
                <w:rFonts w:hint="eastAsia" w:eastAsia="仿宋_GB2312"/>
                <w:spacing w:val="-10"/>
                <w:sz w:val="28"/>
                <w:szCs w:val="28"/>
              </w:rPr>
              <w:t>明试验用药品的标签符合相关规定，并向受试者恰当的说明药物用法</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spacing w:val="-6"/>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spacing w:val="-6"/>
                <w:kern w:val="0"/>
                <w:sz w:val="28"/>
                <w:szCs w:val="28"/>
              </w:rPr>
            </w:pPr>
            <w:r>
              <w:rPr>
                <w:rFonts w:eastAsia="仿宋_GB2312"/>
                <w:spacing w:val="-6"/>
                <w:kern w:val="0"/>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360" w:lineRule="auto"/>
              <w:ind w:right="-42" w:rightChars="-20"/>
              <w:jc w:val="center"/>
              <w:rPr>
                <w:rFonts w:eastAsia="仿宋_GB2312"/>
                <w:spacing w:val="-6"/>
                <w:kern w:val="0"/>
                <w:sz w:val="28"/>
                <w:szCs w:val="28"/>
              </w:rPr>
            </w:pPr>
          </w:p>
        </w:tc>
        <w:tc>
          <w:tcPr>
            <w:tcW w:w="30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试验用药品及其他试验相关材料的说明（若在试验方案或研究者手册中未说明）</w:t>
            </w:r>
          </w:p>
        </w:tc>
        <w:tc>
          <w:tcPr>
            <w:tcW w:w="3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证明试验用药品和其他试验相关材料均给予妥当的贮存、包装、分发和处置</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spacing w:val="-6"/>
                <w:kern w:val="0"/>
                <w:sz w:val="28"/>
                <w:szCs w:val="28"/>
              </w:rPr>
            </w:pPr>
            <w:r>
              <w:rPr>
                <w:rFonts w:eastAsia="仿宋_GB2312"/>
                <w:spacing w:val="-6"/>
                <w:kern w:val="0"/>
                <w:sz w:val="28"/>
                <w:szCs w:val="28"/>
              </w:rPr>
              <w:t>X</w:t>
            </w: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spacing w:val="-6"/>
                <w:kern w:val="0"/>
                <w:sz w:val="28"/>
                <w:szCs w:val="28"/>
              </w:rPr>
            </w:pPr>
            <w:r>
              <w:rPr>
                <w:rFonts w:eastAsia="仿宋_GB2312"/>
                <w:spacing w:val="-6"/>
                <w:kern w:val="0"/>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360" w:lineRule="auto"/>
              <w:ind w:right="-42" w:rightChars="-20"/>
              <w:jc w:val="center"/>
              <w:rPr>
                <w:rFonts w:eastAsia="仿宋_GB2312"/>
                <w:spacing w:val="-6"/>
                <w:kern w:val="0"/>
                <w:sz w:val="28"/>
                <w:szCs w:val="28"/>
              </w:rPr>
            </w:pPr>
          </w:p>
        </w:tc>
        <w:tc>
          <w:tcPr>
            <w:tcW w:w="30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试验用药品及其他试验相关材料的运送记录</w:t>
            </w:r>
          </w:p>
        </w:tc>
        <w:tc>
          <w:tcPr>
            <w:tcW w:w="3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证明试验用药品及其他试验相关材料的运送日期、批编号和运送方式。可追踪试验用药品批号、运送状况和可进行问责</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spacing w:val="-6"/>
                <w:kern w:val="0"/>
                <w:sz w:val="28"/>
                <w:szCs w:val="28"/>
              </w:rPr>
            </w:pPr>
            <w:r>
              <w:rPr>
                <w:rFonts w:eastAsia="仿宋_GB2312"/>
                <w:spacing w:val="-6"/>
                <w:kern w:val="0"/>
                <w:sz w:val="28"/>
                <w:szCs w:val="28"/>
              </w:rPr>
              <w:t>X</w:t>
            </w: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spacing w:val="-6"/>
                <w:kern w:val="0"/>
                <w:sz w:val="28"/>
                <w:szCs w:val="28"/>
              </w:rPr>
            </w:pPr>
            <w:r>
              <w:rPr>
                <w:rFonts w:eastAsia="仿宋_GB2312"/>
                <w:spacing w:val="-6"/>
                <w:kern w:val="0"/>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360" w:lineRule="auto"/>
              <w:ind w:right="-42" w:rightChars="-20"/>
              <w:jc w:val="center"/>
              <w:rPr>
                <w:rFonts w:eastAsia="仿宋_GB2312"/>
                <w:spacing w:val="-6"/>
                <w:kern w:val="0"/>
                <w:sz w:val="28"/>
                <w:szCs w:val="28"/>
              </w:rPr>
            </w:pPr>
          </w:p>
        </w:tc>
        <w:tc>
          <w:tcPr>
            <w:tcW w:w="30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试验用药品的药检报告</w:t>
            </w:r>
          </w:p>
        </w:tc>
        <w:tc>
          <w:tcPr>
            <w:tcW w:w="3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12"/>
                <w:sz w:val="28"/>
                <w:szCs w:val="28"/>
              </w:rPr>
            </w:pPr>
            <w:r>
              <w:rPr>
                <w:rFonts w:hint="eastAsia" w:eastAsia="仿宋_GB2312"/>
                <w:spacing w:val="-12"/>
                <w:sz w:val="28"/>
                <w:szCs w:val="28"/>
              </w:rPr>
              <w:t>证明试验用药品的成分、纯度和规格</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spacing w:val="-6"/>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spacing w:val="-6"/>
                <w:kern w:val="0"/>
                <w:sz w:val="28"/>
                <w:szCs w:val="28"/>
              </w:rPr>
            </w:pPr>
            <w:r>
              <w:rPr>
                <w:rFonts w:eastAsia="仿宋_GB2312"/>
                <w:spacing w:val="-6"/>
                <w:kern w:val="0"/>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360" w:lineRule="auto"/>
              <w:ind w:right="-42" w:rightChars="-20"/>
              <w:jc w:val="center"/>
              <w:rPr>
                <w:rFonts w:eastAsia="仿宋_GB2312"/>
                <w:spacing w:val="-6"/>
                <w:kern w:val="0"/>
                <w:sz w:val="28"/>
                <w:szCs w:val="28"/>
              </w:rPr>
            </w:pPr>
          </w:p>
        </w:tc>
        <w:tc>
          <w:tcPr>
            <w:tcW w:w="30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盲法试验的揭盲规程</w:t>
            </w:r>
          </w:p>
        </w:tc>
        <w:tc>
          <w:tcPr>
            <w:tcW w:w="3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证明紧急状况时，如何识别已设盲的试验药物信息，并且不会破坏其他受试者的盲态</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spacing w:val="-6"/>
                <w:kern w:val="0"/>
                <w:sz w:val="28"/>
                <w:szCs w:val="28"/>
              </w:rPr>
            </w:pPr>
            <w:r>
              <w:rPr>
                <w:rFonts w:eastAsia="仿宋_GB2312"/>
                <w:spacing w:val="-6"/>
                <w:kern w:val="0"/>
                <w:sz w:val="28"/>
                <w:szCs w:val="28"/>
              </w:rPr>
              <w:t>X</w:t>
            </w: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42" w:leftChars="-20" w:right="-42" w:rightChars="-20"/>
              <w:jc w:val="center"/>
              <w:rPr>
                <w:rFonts w:eastAsia="仿宋_GB2312"/>
                <w:spacing w:val="-6"/>
                <w:kern w:val="0"/>
                <w:sz w:val="28"/>
                <w:szCs w:val="28"/>
              </w:rPr>
            </w:pPr>
            <w:r>
              <w:rPr>
                <w:rFonts w:eastAsia="仿宋_GB2312"/>
                <w:spacing w:val="-6"/>
                <w:kern w:val="0"/>
                <w:sz w:val="28"/>
                <w:szCs w:val="28"/>
              </w:rPr>
              <w:t>X（若可行应有第三方）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360" w:lineRule="auto"/>
              <w:ind w:right="-42" w:rightChars="-20"/>
              <w:jc w:val="center"/>
              <w:rPr>
                <w:rFonts w:eastAsia="仿宋_GB2312"/>
                <w:spacing w:val="-6"/>
                <w:kern w:val="0"/>
                <w:sz w:val="28"/>
                <w:szCs w:val="28"/>
              </w:rPr>
            </w:pPr>
          </w:p>
        </w:tc>
        <w:tc>
          <w:tcPr>
            <w:tcW w:w="30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总随机表</w:t>
            </w:r>
          </w:p>
        </w:tc>
        <w:tc>
          <w:tcPr>
            <w:tcW w:w="3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证明受试人群的随机化方法</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spacing w:val="-6"/>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42" w:leftChars="-20" w:right="-42" w:rightChars="-20"/>
              <w:jc w:val="center"/>
              <w:rPr>
                <w:rFonts w:eastAsia="仿宋_GB2312"/>
                <w:spacing w:val="-6"/>
                <w:kern w:val="0"/>
                <w:sz w:val="28"/>
                <w:szCs w:val="28"/>
              </w:rPr>
            </w:pPr>
            <w:r>
              <w:rPr>
                <w:rFonts w:eastAsia="仿宋_GB2312"/>
                <w:spacing w:val="-6"/>
                <w:kern w:val="0"/>
                <w:sz w:val="28"/>
                <w:szCs w:val="28"/>
              </w:rPr>
              <w:t>X（若可行应有第三方）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360" w:lineRule="auto"/>
              <w:ind w:right="-42" w:rightChars="-20"/>
              <w:jc w:val="center"/>
              <w:rPr>
                <w:rFonts w:eastAsia="仿宋_GB2312"/>
                <w:spacing w:val="-6"/>
                <w:kern w:val="0"/>
                <w:sz w:val="28"/>
                <w:szCs w:val="28"/>
              </w:rPr>
            </w:pPr>
          </w:p>
        </w:tc>
        <w:tc>
          <w:tcPr>
            <w:tcW w:w="30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申办者考察报告</w:t>
            </w:r>
          </w:p>
        </w:tc>
        <w:tc>
          <w:tcPr>
            <w:tcW w:w="3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证明申办者所考察的医疗机构适合进行临床试验</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spacing w:val="-6"/>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spacing w:val="-6"/>
                <w:kern w:val="0"/>
                <w:sz w:val="28"/>
                <w:szCs w:val="28"/>
              </w:rPr>
            </w:pPr>
            <w:r>
              <w:rPr>
                <w:rFonts w:eastAsia="仿宋_GB2312"/>
                <w:spacing w:val="-6"/>
                <w:kern w:val="0"/>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360" w:lineRule="auto"/>
              <w:ind w:right="-42" w:rightChars="-20"/>
              <w:jc w:val="center"/>
              <w:rPr>
                <w:rFonts w:eastAsia="仿宋_GB2312"/>
                <w:spacing w:val="-6"/>
                <w:kern w:val="0"/>
                <w:sz w:val="28"/>
                <w:szCs w:val="28"/>
              </w:rPr>
            </w:pPr>
          </w:p>
        </w:tc>
        <w:tc>
          <w:tcPr>
            <w:tcW w:w="30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试验启动监查报告</w:t>
            </w:r>
          </w:p>
        </w:tc>
        <w:tc>
          <w:tcPr>
            <w:tcW w:w="3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证明所有的研究者及其团队对临床试验的流程进行了评估</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spacing w:val="-6"/>
                <w:kern w:val="0"/>
                <w:sz w:val="28"/>
                <w:szCs w:val="28"/>
              </w:rPr>
            </w:pPr>
            <w:r>
              <w:rPr>
                <w:rFonts w:eastAsia="仿宋_GB2312"/>
                <w:spacing w:val="-6"/>
                <w:kern w:val="0"/>
                <w:sz w:val="28"/>
                <w:szCs w:val="28"/>
              </w:rPr>
              <w:t>X</w:t>
            </w:r>
          </w:p>
        </w:tc>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spacing w:val="-6"/>
                <w:kern w:val="0"/>
                <w:sz w:val="28"/>
                <w:szCs w:val="28"/>
              </w:rPr>
            </w:pPr>
            <w:r>
              <w:rPr>
                <w:rFonts w:eastAsia="仿宋_GB2312"/>
                <w:spacing w:val="-6"/>
                <w:kern w:val="0"/>
                <w:sz w:val="28"/>
                <w:szCs w:val="28"/>
              </w:rPr>
              <w:t>X</w:t>
            </w:r>
          </w:p>
        </w:tc>
      </w:tr>
    </w:tbl>
    <w:p>
      <w:pPr>
        <w:ind w:firstLine="640" w:firstLineChars="200"/>
        <w:jc w:val="left"/>
        <w:rPr>
          <w:rFonts w:ascii="黑体" w:hAnsi="黑体" w:eastAsia="黑体"/>
          <w:sz w:val="28"/>
          <w:szCs w:val="28"/>
        </w:rPr>
      </w:pPr>
      <w:r>
        <w:rPr>
          <w:rFonts w:hint="eastAsia" w:ascii="黑体" w:hAnsi="黑体" w:eastAsia="黑体"/>
          <w:sz w:val="28"/>
          <w:szCs w:val="28"/>
        </w:rPr>
        <w:t>二、</w:t>
      </w:r>
      <w:r>
        <w:rPr>
          <w:rFonts w:ascii="黑体" w:hAnsi="黑体" w:eastAsia="黑体"/>
          <w:sz w:val="28"/>
          <w:szCs w:val="28"/>
        </w:rPr>
        <w:t>临床试验进行阶段</w:t>
      </w:r>
    </w:p>
    <w:tbl>
      <w:tblPr>
        <w:tblStyle w:val="28"/>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3204"/>
        <w:gridCol w:w="3458"/>
        <w:gridCol w:w="127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42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spacing w:val="6"/>
                <w:sz w:val="28"/>
                <w:szCs w:val="28"/>
              </w:rPr>
            </w:pPr>
          </w:p>
        </w:tc>
        <w:tc>
          <w:tcPr>
            <w:tcW w:w="320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b/>
                <w:spacing w:val="6"/>
                <w:sz w:val="28"/>
                <w:szCs w:val="28"/>
              </w:rPr>
            </w:pPr>
            <w:r>
              <w:rPr>
                <w:rFonts w:eastAsia="仿宋_GB2312"/>
                <w:b/>
                <w:spacing w:val="6"/>
                <w:sz w:val="28"/>
                <w:szCs w:val="28"/>
              </w:rPr>
              <w:t>保存文件</w:t>
            </w:r>
          </w:p>
        </w:tc>
        <w:tc>
          <w:tcPr>
            <w:tcW w:w="345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b/>
                <w:spacing w:val="6"/>
                <w:sz w:val="28"/>
                <w:szCs w:val="28"/>
              </w:rPr>
            </w:pPr>
            <w:r>
              <w:rPr>
                <w:rFonts w:eastAsia="仿宋_GB2312"/>
                <w:b/>
                <w:spacing w:val="6"/>
                <w:sz w:val="28"/>
                <w:szCs w:val="28"/>
              </w:rPr>
              <w:t>目的</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b/>
                <w:spacing w:val="6"/>
                <w:sz w:val="28"/>
                <w:szCs w:val="28"/>
              </w:rPr>
            </w:pPr>
            <w:r>
              <w:rPr>
                <w:rFonts w:eastAsia="仿宋_GB2312"/>
                <w:b/>
                <w:spacing w:val="6"/>
                <w:sz w:val="28"/>
                <w:szCs w:val="28"/>
              </w:rPr>
              <w:t>归档在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tblHeader/>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spacing w:val="6"/>
                <w:sz w:val="28"/>
                <w:szCs w:val="28"/>
              </w:rPr>
            </w:pPr>
          </w:p>
        </w:tc>
        <w:tc>
          <w:tcPr>
            <w:tcW w:w="320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rPr>
                <w:rFonts w:eastAsia="仿宋_GB2312"/>
                <w:b/>
                <w:spacing w:val="6"/>
                <w:sz w:val="28"/>
                <w:szCs w:val="28"/>
              </w:rPr>
            </w:pPr>
          </w:p>
        </w:tc>
        <w:tc>
          <w:tcPr>
            <w:tcW w:w="345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rPr>
                <w:rFonts w:eastAsia="仿宋_GB2312"/>
                <w:b/>
                <w:spacing w:val="6"/>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b/>
                <w:spacing w:val="6"/>
                <w:sz w:val="28"/>
                <w:szCs w:val="28"/>
              </w:rPr>
            </w:pPr>
            <w:r>
              <w:rPr>
                <w:rFonts w:eastAsia="仿宋_GB2312"/>
                <w:b/>
                <w:spacing w:val="6"/>
                <w:sz w:val="28"/>
                <w:szCs w:val="28"/>
              </w:rPr>
              <w:t>研究者/</w:t>
            </w:r>
          </w:p>
          <w:p>
            <w:pPr>
              <w:adjustRightInd w:val="0"/>
              <w:snapToGrid w:val="0"/>
              <w:spacing w:line="360" w:lineRule="auto"/>
              <w:ind w:left="-42" w:leftChars="-20" w:right="-42" w:rightChars="-20"/>
              <w:jc w:val="center"/>
              <w:rPr>
                <w:rFonts w:eastAsia="仿宋_GB2312"/>
                <w:b/>
                <w:spacing w:val="6"/>
                <w:sz w:val="28"/>
                <w:szCs w:val="28"/>
              </w:rPr>
            </w:pPr>
            <w:r>
              <w:rPr>
                <w:rFonts w:eastAsia="仿宋_GB2312"/>
                <w:b/>
                <w:spacing w:val="6"/>
                <w:sz w:val="28"/>
                <w:szCs w:val="28"/>
              </w:rPr>
              <w:t>研究机构</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b/>
                <w:spacing w:val="6"/>
                <w:sz w:val="28"/>
                <w:szCs w:val="28"/>
              </w:rPr>
            </w:pPr>
            <w:r>
              <w:rPr>
                <w:rFonts w:eastAsia="仿宋_GB2312"/>
                <w:b/>
                <w:spacing w:val="6"/>
                <w:sz w:val="28"/>
                <w:szCs w:val="28"/>
              </w:rPr>
              <w:t>申办者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spacing w:line="360" w:lineRule="auto"/>
              <w:ind w:right="-20"/>
              <w:jc w:val="center"/>
              <w:rPr>
                <w:rFonts w:eastAsia="仿宋_GB2312"/>
                <w:spacing w:val="6"/>
                <w:sz w:val="28"/>
                <w:szCs w:val="28"/>
              </w:rPr>
            </w:pPr>
          </w:p>
        </w:tc>
        <w:tc>
          <w:tcPr>
            <w:tcW w:w="32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更新的研究者手册</w:t>
            </w:r>
          </w:p>
        </w:tc>
        <w:tc>
          <w:tcPr>
            <w:tcW w:w="3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证明所获得的相关信息被及时反馈给研究者</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spacing w:line="360" w:lineRule="auto"/>
              <w:ind w:right="-20"/>
              <w:jc w:val="center"/>
              <w:rPr>
                <w:rFonts w:eastAsia="仿宋_GB2312"/>
                <w:spacing w:val="6"/>
                <w:sz w:val="28"/>
                <w:szCs w:val="28"/>
              </w:rPr>
            </w:pPr>
          </w:p>
        </w:tc>
        <w:tc>
          <w:tcPr>
            <w:tcW w:w="32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对下列内容的任何更改：</w:t>
            </w:r>
          </w:p>
          <w:p>
            <w:pPr>
              <w:adjustRightInd w:val="0"/>
              <w:snapToGrid w:val="0"/>
              <w:spacing w:line="276" w:lineRule="auto"/>
              <w:ind w:right="-20"/>
              <w:rPr>
                <w:rFonts w:eastAsia="仿宋_GB2312"/>
                <w:spacing w:val="-6"/>
                <w:sz w:val="28"/>
                <w:szCs w:val="28"/>
              </w:rPr>
            </w:pPr>
            <w:r>
              <w:rPr>
                <w:rFonts w:eastAsia="仿宋_GB2312"/>
                <w:spacing w:val="-6"/>
                <w:sz w:val="28"/>
                <w:szCs w:val="28"/>
              </w:rPr>
              <w:t>—试验方案及其修正案，CRF</w:t>
            </w:r>
          </w:p>
          <w:p>
            <w:pPr>
              <w:adjustRightInd w:val="0"/>
              <w:snapToGrid w:val="0"/>
              <w:spacing w:line="276" w:lineRule="auto"/>
              <w:ind w:right="-20"/>
              <w:rPr>
                <w:rFonts w:eastAsia="仿宋_GB2312"/>
                <w:spacing w:val="-6"/>
                <w:sz w:val="28"/>
                <w:szCs w:val="28"/>
              </w:rPr>
            </w:pPr>
            <w:r>
              <w:rPr>
                <w:rFonts w:eastAsia="仿宋_GB2312"/>
                <w:spacing w:val="-6"/>
                <w:sz w:val="28"/>
                <w:szCs w:val="28"/>
              </w:rPr>
              <w:t>—知情同意书</w:t>
            </w:r>
          </w:p>
          <w:p>
            <w:pPr>
              <w:adjustRightInd w:val="0"/>
              <w:snapToGrid w:val="0"/>
              <w:spacing w:line="276" w:lineRule="auto"/>
              <w:ind w:right="-20"/>
              <w:rPr>
                <w:rFonts w:eastAsia="仿宋_GB2312"/>
                <w:spacing w:val="-6"/>
                <w:sz w:val="28"/>
                <w:szCs w:val="28"/>
              </w:rPr>
            </w:pPr>
            <w:r>
              <w:rPr>
                <w:rFonts w:eastAsia="仿宋_GB2312"/>
                <w:spacing w:val="-6"/>
                <w:sz w:val="28"/>
                <w:szCs w:val="28"/>
              </w:rPr>
              <w:t>—其他提供给受试者的任何书面资料</w:t>
            </w:r>
          </w:p>
          <w:p>
            <w:pPr>
              <w:adjustRightInd w:val="0"/>
              <w:snapToGrid w:val="0"/>
              <w:spacing w:line="276" w:lineRule="auto"/>
              <w:ind w:right="-20"/>
              <w:rPr>
                <w:rFonts w:eastAsia="仿宋_GB2312"/>
                <w:spacing w:val="-6"/>
                <w:sz w:val="28"/>
                <w:szCs w:val="28"/>
              </w:rPr>
            </w:pPr>
            <w:r>
              <w:rPr>
                <w:rFonts w:eastAsia="仿宋_GB2312"/>
                <w:spacing w:val="-6"/>
                <w:sz w:val="28"/>
                <w:szCs w:val="28"/>
              </w:rPr>
              <w:t>—受试者招募广告（若使用）</w:t>
            </w:r>
          </w:p>
        </w:tc>
        <w:tc>
          <w:tcPr>
            <w:tcW w:w="3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证明试验期间，生效文件的修订信息</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4"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spacing w:line="360" w:lineRule="auto"/>
              <w:ind w:right="-20"/>
              <w:jc w:val="center"/>
              <w:rPr>
                <w:rFonts w:eastAsia="仿宋_GB2312"/>
                <w:spacing w:val="6"/>
                <w:sz w:val="28"/>
                <w:szCs w:val="28"/>
              </w:rPr>
            </w:pPr>
          </w:p>
        </w:tc>
        <w:tc>
          <w:tcPr>
            <w:tcW w:w="32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伦理委员会对以下各项内容的书面审查、批准文件，具签名、注明日期</w:t>
            </w:r>
          </w:p>
          <w:p>
            <w:pPr>
              <w:autoSpaceDE w:val="0"/>
              <w:autoSpaceDN w:val="0"/>
              <w:adjustRightInd w:val="0"/>
              <w:snapToGrid w:val="0"/>
              <w:spacing w:line="276" w:lineRule="auto"/>
              <w:ind w:left="1" w:right="-20"/>
              <w:rPr>
                <w:rFonts w:eastAsia="仿宋_GB2312"/>
                <w:spacing w:val="-6"/>
                <w:sz w:val="28"/>
                <w:szCs w:val="28"/>
              </w:rPr>
            </w:pPr>
            <w:r>
              <w:rPr>
                <w:rFonts w:eastAsia="仿宋_GB2312"/>
                <w:spacing w:val="-6"/>
                <w:sz w:val="28"/>
                <w:szCs w:val="28"/>
              </w:rPr>
              <w:t>—试验方案修改</w:t>
            </w:r>
          </w:p>
          <w:p>
            <w:pPr>
              <w:autoSpaceDE w:val="0"/>
              <w:autoSpaceDN w:val="0"/>
              <w:adjustRightInd w:val="0"/>
              <w:snapToGrid w:val="0"/>
              <w:spacing w:line="276" w:lineRule="auto"/>
              <w:ind w:right="-20"/>
              <w:rPr>
                <w:rFonts w:eastAsia="仿宋_GB2312"/>
                <w:spacing w:val="-6"/>
                <w:sz w:val="28"/>
                <w:szCs w:val="28"/>
              </w:rPr>
            </w:pPr>
            <w:r>
              <w:rPr>
                <w:rFonts w:eastAsia="仿宋_GB2312"/>
                <w:spacing w:val="-6"/>
                <w:sz w:val="28"/>
                <w:szCs w:val="28"/>
              </w:rPr>
              <w:t>—下列文件修订本</w:t>
            </w:r>
          </w:p>
          <w:p>
            <w:pPr>
              <w:adjustRightInd w:val="0"/>
              <w:snapToGrid w:val="0"/>
              <w:spacing w:line="276" w:lineRule="auto"/>
              <w:ind w:right="-20"/>
              <w:rPr>
                <w:rFonts w:eastAsia="仿宋_GB2312"/>
                <w:spacing w:val="-6"/>
                <w:sz w:val="28"/>
                <w:szCs w:val="28"/>
              </w:rPr>
            </w:pPr>
            <w:r>
              <w:rPr>
                <w:rFonts w:eastAsia="仿宋_GB2312"/>
                <w:spacing w:val="-6"/>
                <w:sz w:val="28"/>
                <w:szCs w:val="28"/>
              </w:rPr>
              <w:t>— 知情同意书</w:t>
            </w:r>
          </w:p>
          <w:p>
            <w:pPr>
              <w:adjustRightInd w:val="0"/>
              <w:snapToGrid w:val="0"/>
              <w:spacing w:line="276" w:lineRule="auto"/>
              <w:ind w:right="-20"/>
              <w:rPr>
                <w:rFonts w:eastAsia="仿宋_GB2312"/>
                <w:spacing w:val="-6"/>
                <w:sz w:val="28"/>
                <w:szCs w:val="28"/>
              </w:rPr>
            </w:pPr>
            <w:r>
              <w:rPr>
                <w:rFonts w:eastAsia="仿宋_GB2312"/>
                <w:spacing w:val="-6"/>
                <w:sz w:val="28"/>
                <w:szCs w:val="28"/>
              </w:rPr>
              <w:t>—其他提供给受试者的任何书面资料</w:t>
            </w:r>
          </w:p>
          <w:p>
            <w:pPr>
              <w:adjustRightInd w:val="0"/>
              <w:snapToGrid w:val="0"/>
              <w:spacing w:line="276" w:lineRule="auto"/>
              <w:ind w:right="-20"/>
              <w:rPr>
                <w:rFonts w:eastAsia="仿宋_GB2312"/>
                <w:spacing w:val="-6"/>
                <w:sz w:val="28"/>
                <w:szCs w:val="28"/>
              </w:rPr>
            </w:pPr>
            <w:r>
              <w:rPr>
                <w:rFonts w:eastAsia="仿宋_GB2312"/>
                <w:spacing w:val="-6"/>
                <w:sz w:val="28"/>
                <w:szCs w:val="28"/>
              </w:rPr>
              <w:t>— 受试者招募广告（若使用）</w:t>
            </w:r>
          </w:p>
          <w:p>
            <w:pPr>
              <w:autoSpaceDE w:val="0"/>
              <w:autoSpaceDN w:val="0"/>
              <w:adjustRightInd w:val="0"/>
              <w:snapToGrid w:val="0"/>
              <w:spacing w:line="276" w:lineRule="auto"/>
              <w:ind w:right="-20"/>
              <w:rPr>
                <w:rFonts w:eastAsia="仿宋_GB2312"/>
                <w:spacing w:val="-6"/>
                <w:sz w:val="28"/>
                <w:szCs w:val="28"/>
              </w:rPr>
            </w:pPr>
            <w:r>
              <w:rPr>
                <w:rFonts w:eastAsia="仿宋_GB2312"/>
                <w:spacing w:val="-6"/>
                <w:sz w:val="28"/>
                <w:szCs w:val="28"/>
              </w:rPr>
              <w:t>—伦理委员会任何其他审查，批准的文件</w:t>
            </w:r>
          </w:p>
          <w:p>
            <w:pPr>
              <w:autoSpaceDE w:val="0"/>
              <w:autoSpaceDN w:val="0"/>
              <w:adjustRightInd w:val="0"/>
              <w:snapToGrid w:val="0"/>
              <w:spacing w:line="276" w:lineRule="auto"/>
              <w:ind w:right="-20"/>
              <w:rPr>
                <w:rFonts w:eastAsia="仿宋_GB2312"/>
                <w:spacing w:val="-6"/>
                <w:sz w:val="28"/>
                <w:szCs w:val="28"/>
              </w:rPr>
            </w:pPr>
            <w:r>
              <w:rPr>
                <w:rFonts w:eastAsia="仿宋_GB2312"/>
                <w:spacing w:val="-6"/>
                <w:sz w:val="28"/>
                <w:szCs w:val="28"/>
              </w:rPr>
              <w:t>—对试验的延续审评（必要时）</w:t>
            </w:r>
          </w:p>
        </w:tc>
        <w:tc>
          <w:tcPr>
            <w:tcW w:w="3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证明临床试验修改和/修订的文件经过伦理委员会的审查、批准。确认文件的版本号和日期</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spacing w:line="360" w:lineRule="auto"/>
              <w:ind w:right="-20"/>
              <w:jc w:val="center"/>
              <w:rPr>
                <w:rFonts w:eastAsia="仿宋_GB2312"/>
                <w:spacing w:val="6"/>
                <w:sz w:val="28"/>
                <w:szCs w:val="28"/>
              </w:rPr>
            </w:pPr>
          </w:p>
        </w:tc>
        <w:tc>
          <w:tcPr>
            <w:tcW w:w="32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药品监督管理部门对临床试验方案修改及其他文件的批准、认可、备案</w:t>
            </w:r>
          </w:p>
        </w:tc>
        <w:tc>
          <w:tcPr>
            <w:tcW w:w="3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证明符合药品监督管理部门的要求</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w:t>
            </w:r>
          </w:p>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（必要时）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spacing w:line="360" w:lineRule="auto"/>
              <w:ind w:right="-20"/>
              <w:jc w:val="center"/>
              <w:rPr>
                <w:rFonts w:eastAsia="仿宋_GB2312"/>
                <w:spacing w:val="6"/>
                <w:sz w:val="28"/>
                <w:szCs w:val="28"/>
              </w:rPr>
            </w:pPr>
          </w:p>
        </w:tc>
        <w:tc>
          <w:tcPr>
            <w:tcW w:w="32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研究者和次要研究者更新的履历和其他的资质证明文件</w:t>
            </w:r>
          </w:p>
        </w:tc>
        <w:tc>
          <w:tcPr>
            <w:tcW w:w="3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left="-42" w:leftChars="-20" w:right="-42" w:rightChars="-20"/>
              <w:rPr>
                <w:rFonts w:eastAsia="仿宋_GB2312"/>
                <w:spacing w:val="-6"/>
                <w:sz w:val="28"/>
                <w:szCs w:val="28"/>
              </w:rPr>
            </w:pPr>
            <w:r>
              <w:rPr>
                <w:rFonts w:eastAsia="仿宋_GB2312"/>
                <w:spacing w:val="-6"/>
                <w:sz w:val="28"/>
                <w:szCs w:val="28"/>
              </w:rPr>
              <w:t>证明研究者和次要研究者有资质和能力完成该临床试验，和能够对受试者进行医疗监管</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spacing w:line="360" w:lineRule="auto"/>
              <w:ind w:right="-20"/>
              <w:jc w:val="center"/>
              <w:rPr>
                <w:rFonts w:eastAsia="仿宋_GB2312"/>
                <w:spacing w:val="6"/>
                <w:sz w:val="28"/>
                <w:szCs w:val="28"/>
              </w:rPr>
            </w:pPr>
          </w:p>
        </w:tc>
        <w:tc>
          <w:tcPr>
            <w:tcW w:w="32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更新的医学、实验室、专业技术操作和相关检测的参考值和参考值范围</w:t>
            </w:r>
          </w:p>
        </w:tc>
        <w:tc>
          <w:tcPr>
            <w:tcW w:w="3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证明各项修订的检测的参考值和参考值范围</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spacing w:line="360" w:lineRule="auto"/>
              <w:ind w:right="-20"/>
              <w:jc w:val="center"/>
              <w:rPr>
                <w:rFonts w:eastAsia="仿宋_GB2312"/>
                <w:spacing w:val="6"/>
                <w:sz w:val="28"/>
                <w:szCs w:val="28"/>
              </w:rPr>
            </w:pPr>
          </w:p>
        </w:tc>
        <w:tc>
          <w:tcPr>
            <w:tcW w:w="32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更新的医学、实验室、专业技术操作和相关检测的资质证明</w:t>
            </w:r>
          </w:p>
          <w:p>
            <w:pPr>
              <w:adjustRightInd w:val="0"/>
              <w:snapToGrid w:val="0"/>
              <w:spacing w:line="276" w:lineRule="auto"/>
              <w:ind w:right="-20"/>
              <w:rPr>
                <w:rFonts w:eastAsia="仿宋_GB2312"/>
                <w:spacing w:val="-6"/>
                <w:sz w:val="28"/>
                <w:szCs w:val="28"/>
              </w:rPr>
            </w:pPr>
            <w:r>
              <w:rPr>
                <w:rFonts w:eastAsia="仿宋_GB2312"/>
                <w:spacing w:val="-6"/>
                <w:sz w:val="28"/>
                <w:szCs w:val="28"/>
              </w:rPr>
              <w:t>— 资质认可证书</w:t>
            </w:r>
          </w:p>
          <w:p>
            <w:pPr>
              <w:adjustRightInd w:val="0"/>
              <w:snapToGrid w:val="0"/>
              <w:spacing w:line="276" w:lineRule="auto"/>
              <w:ind w:right="-20"/>
              <w:rPr>
                <w:rFonts w:eastAsia="仿宋_GB2312"/>
                <w:spacing w:val="-6"/>
                <w:sz w:val="28"/>
                <w:szCs w:val="28"/>
              </w:rPr>
            </w:pPr>
            <w:r>
              <w:rPr>
                <w:rFonts w:eastAsia="仿宋_GB2312"/>
                <w:spacing w:val="-6"/>
                <w:sz w:val="28"/>
                <w:szCs w:val="28"/>
              </w:rPr>
              <w:t>— 资质认证证书</w:t>
            </w:r>
          </w:p>
          <w:p>
            <w:pPr>
              <w:adjustRightInd w:val="0"/>
              <w:snapToGrid w:val="0"/>
              <w:spacing w:line="276" w:lineRule="auto"/>
              <w:ind w:right="-20"/>
              <w:rPr>
                <w:rFonts w:eastAsia="仿宋_GB2312"/>
                <w:spacing w:val="-6"/>
                <w:sz w:val="28"/>
                <w:szCs w:val="28"/>
              </w:rPr>
            </w:pPr>
            <w:r>
              <w:rPr>
                <w:rFonts w:eastAsia="仿宋_GB2312"/>
                <w:spacing w:val="-6"/>
                <w:sz w:val="28"/>
                <w:szCs w:val="28"/>
              </w:rPr>
              <w:t>— 已建立质量控制体系和/或外部质量评价体系</w:t>
            </w:r>
          </w:p>
          <w:p>
            <w:pPr>
              <w:adjustRightInd w:val="0"/>
              <w:snapToGrid w:val="0"/>
              <w:spacing w:line="276" w:lineRule="auto"/>
              <w:ind w:right="-20"/>
              <w:rPr>
                <w:rFonts w:eastAsia="仿宋_GB2312"/>
                <w:spacing w:val="-6"/>
                <w:sz w:val="28"/>
                <w:szCs w:val="28"/>
              </w:rPr>
            </w:pPr>
            <w:r>
              <w:rPr>
                <w:rFonts w:eastAsia="仿宋_GB2312"/>
                <w:spacing w:val="-6"/>
                <w:sz w:val="28"/>
                <w:szCs w:val="28"/>
              </w:rPr>
              <w:t>— 其他验证体系</w:t>
            </w:r>
          </w:p>
        </w:tc>
        <w:tc>
          <w:tcPr>
            <w:tcW w:w="3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证明完成试验的医学、实验室、专业技术操作和相关检测设施和能力能够满足要求，保证检测结果的可靠性</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w:t>
            </w:r>
          </w:p>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（必要时）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spacing w:line="360" w:lineRule="auto"/>
              <w:ind w:right="-20"/>
              <w:jc w:val="center"/>
              <w:rPr>
                <w:rFonts w:eastAsia="仿宋_GB2312"/>
                <w:spacing w:val="6"/>
                <w:sz w:val="28"/>
                <w:szCs w:val="28"/>
              </w:rPr>
            </w:pPr>
          </w:p>
        </w:tc>
        <w:tc>
          <w:tcPr>
            <w:tcW w:w="32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试验用药品及其他试验相关材料的运送记录</w:t>
            </w:r>
          </w:p>
        </w:tc>
        <w:tc>
          <w:tcPr>
            <w:tcW w:w="3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证明试验用药品及其他试验相关材料的运送日期、批编号和运送方式。可追踪试验用药品批号、运送状况和可进行问责</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spacing w:line="360" w:lineRule="auto"/>
              <w:ind w:right="-20"/>
              <w:jc w:val="center"/>
              <w:rPr>
                <w:rFonts w:eastAsia="仿宋_GB2312"/>
                <w:spacing w:val="6"/>
                <w:sz w:val="28"/>
                <w:szCs w:val="28"/>
              </w:rPr>
            </w:pPr>
          </w:p>
        </w:tc>
        <w:tc>
          <w:tcPr>
            <w:tcW w:w="32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新批号试验用药品的药检证明</w:t>
            </w:r>
          </w:p>
        </w:tc>
        <w:tc>
          <w:tcPr>
            <w:tcW w:w="3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证明试验用药品的成分、纯度和规格</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spacing w:line="360" w:lineRule="auto"/>
              <w:ind w:right="-20"/>
              <w:jc w:val="center"/>
              <w:rPr>
                <w:rFonts w:eastAsia="仿宋_GB2312"/>
                <w:spacing w:val="6"/>
                <w:sz w:val="28"/>
                <w:szCs w:val="28"/>
              </w:rPr>
            </w:pPr>
          </w:p>
        </w:tc>
        <w:tc>
          <w:tcPr>
            <w:tcW w:w="32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监查访视报告</w:t>
            </w:r>
          </w:p>
        </w:tc>
        <w:tc>
          <w:tcPr>
            <w:tcW w:w="3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14"/>
                <w:sz w:val="28"/>
                <w:szCs w:val="28"/>
              </w:rPr>
            </w:pPr>
            <w:r>
              <w:rPr>
                <w:rFonts w:eastAsia="仿宋_GB2312"/>
                <w:spacing w:val="-14"/>
                <w:sz w:val="28"/>
                <w:szCs w:val="28"/>
              </w:rPr>
              <w:t>证明监查员的现场访视和监查结果</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spacing w:line="360" w:lineRule="auto"/>
              <w:ind w:right="-20"/>
              <w:jc w:val="center"/>
              <w:rPr>
                <w:rFonts w:eastAsia="仿宋_GB2312"/>
                <w:spacing w:val="6"/>
                <w:sz w:val="28"/>
                <w:szCs w:val="28"/>
              </w:rPr>
            </w:pPr>
          </w:p>
        </w:tc>
        <w:tc>
          <w:tcPr>
            <w:tcW w:w="32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现场访视之外的相关通讯、联络记录</w:t>
            </w:r>
          </w:p>
          <w:p>
            <w:pPr>
              <w:autoSpaceDE w:val="0"/>
              <w:autoSpaceDN w:val="0"/>
              <w:adjustRightInd w:val="0"/>
              <w:snapToGrid w:val="0"/>
              <w:spacing w:line="276" w:lineRule="auto"/>
              <w:ind w:right="-20"/>
              <w:rPr>
                <w:rFonts w:eastAsia="仿宋_GB2312"/>
                <w:spacing w:val="-6"/>
                <w:sz w:val="28"/>
                <w:szCs w:val="28"/>
              </w:rPr>
            </w:pPr>
            <w:r>
              <w:rPr>
                <w:rFonts w:eastAsia="仿宋_GB2312"/>
                <w:spacing w:val="-6"/>
                <w:sz w:val="28"/>
                <w:szCs w:val="28"/>
              </w:rPr>
              <w:t>—往来信件</w:t>
            </w:r>
          </w:p>
          <w:p>
            <w:pPr>
              <w:autoSpaceDE w:val="0"/>
              <w:autoSpaceDN w:val="0"/>
              <w:adjustRightInd w:val="0"/>
              <w:snapToGrid w:val="0"/>
              <w:spacing w:line="276" w:lineRule="auto"/>
              <w:ind w:right="-20"/>
              <w:rPr>
                <w:rFonts w:eastAsia="仿宋_GB2312"/>
                <w:spacing w:val="-6"/>
                <w:sz w:val="28"/>
                <w:szCs w:val="28"/>
              </w:rPr>
            </w:pPr>
            <w:r>
              <w:rPr>
                <w:rFonts w:eastAsia="仿宋_GB2312"/>
                <w:spacing w:val="-6"/>
                <w:sz w:val="28"/>
                <w:szCs w:val="28"/>
              </w:rPr>
              <w:t>—会议记录</w:t>
            </w:r>
          </w:p>
          <w:p>
            <w:pPr>
              <w:autoSpaceDE w:val="0"/>
              <w:autoSpaceDN w:val="0"/>
              <w:adjustRightInd w:val="0"/>
              <w:snapToGrid w:val="0"/>
              <w:spacing w:line="276" w:lineRule="auto"/>
              <w:ind w:right="-20"/>
              <w:rPr>
                <w:rFonts w:eastAsia="仿宋_GB2312"/>
                <w:spacing w:val="-6"/>
                <w:sz w:val="28"/>
                <w:szCs w:val="28"/>
              </w:rPr>
            </w:pPr>
            <w:r>
              <w:rPr>
                <w:rFonts w:eastAsia="仿宋_GB2312"/>
                <w:spacing w:val="-6"/>
                <w:sz w:val="28"/>
                <w:szCs w:val="28"/>
              </w:rPr>
              <w:t>—电话记录</w:t>
            </w:r>
          </w:p>
        </w:tc>
        <w:tc>
          <w:tcPr>
            <w:tcW w:w="3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证明有关临床试验的管理、方案违背、试验实施、不良事件的报告等方面的共识或重要问题的讨论</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spacing w:line="360" w:lineRule="auto"/>
              <w:ind w:right="-20"/>
              <w:jc w:val="center"/>
              <w:rPr>
                <w:rFonts w:eastAsia="仿宋_GB2312"/>
                <w:spacing w:val="6"/>
                <w:sz w:val="28"/>
                <w:szCs w:val="28"/>
              </w:rPr>
            </w:pPr>
          </w:p>
        </w:tc>
        <w:tc>
          <w:tcPr>
            <w:tcW w:w="32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签署的知情同意书</w:t>
            </w:r>
          </w:p>
        </w:tc>
        <w:tc>
          <w:tcPr>
            <w:tcW w:w="3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证明每个受试者的知情同意是在参加临床试验前，按照GCP规范和临床试验方案的要求获得的</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spacing w:line="360" w:lineRule="auto"/>
              <w:ind w:right="-20"/>
              <w:jc w:val="center"/>
              <w:rPr>
                <w:rFonts w:eastAsia="仿宋_GB2312"/>
                <w:spacing w:val="6"/>
                <w:sz w:val="28"/>
                <w:szCs w:val="28"/>
              </w:rPr>
            </w:pPr>
          </w:p>
        </w:tc>
        <w:tc>
          <w:tcPr>
            <w:tcW w:w="32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原始医疗文件</w:t>
            </w:r>
          </w:p>
        </w:tc>
        <w:tc>
          <w:tcPr>
            <w:tcW w:w="3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证明临床试验中采集受试者数据的真实性和完整性。包括受试者与试验相关的所有原始文件、医疗记录和病史</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spacing w:line="360" w:lineRule="auto"/>
              <w:ind w:right="-20"/>
              <w:jc w:val="center"/>
              <w:rPr>
                <w:rFonts w:eastAsia="仿宋_GB2312"/>
                <w:spacing w:val="6"/>
                <w:sz w:val="28"/>
                <w:szCs w:val="28"/>
              </w:rPr>
            </w:pPr>
          </w:p>
        </w:tc>
        <w:tc>
          <w:tcPr>
            <w:tcW w:w="32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已签署研究者姓名、记录日期和填写完整的CRF</w:t>
            </w:r>
          </w:p>
        </w:tc>
        <w:tc>
          <w:tcPr>
            <w:tcW w:w="3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证明研究者或研究团队的人员已确认CRF中填写的数值</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right="-23"/>
              <w:jc w:val="center"/>
              <w:rPr>
                <w:rFonts w:eastAsia="仿宋_GB2312"/>
                <w:spacing w:val="6"/>
                <w:sz w:val="28"/>
                <w:szCs w:val="28"/>
              </w:rPr>
            </w:pPr>
            <w:r>
              <w:rPr>
                <w:rFonts w:eastAsia="仿宋_GB2312"/>
                <w:spacing w:val="6"/>
                <w:sz w:val="28"/>
                <w:szCs w:val="28"/>
              </w:rPr>
              <w:t>X</w:t>
            </w:r>
          </w:p>
          <w:p>
            <w:pPr>
              <w:adjustRightInd w:val="0"/>
              <w:snapToGrid w:val="0"/>
              <w:spacing w:line="360" w:lineRule="exact"/>
              <w:ind w:right="-23"/>
              <w:jc w:val="center"/>
              <w:rPr>
                <w:rFonts w:eastAsia="仿宋_GB2312"/>
                <w:spacing w:val="6"/>
                <w:sz w:val="28"/>
                <w:szCs w:val="28"/>
              </w:rPr>
            </w:pPr>
            <w:r>
              <w:rPr>
                <w:rFonts w:eastAsia="仿宋_GB2312"/>
                <w:spacing w:val="6"/>
                <w:sz w:val="28"/>
                <w:szCs w:val="28"/>
              </w:rPr>
              <w:t>（复印件）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spacing w:line="360" w:lineRule="auto"/>
              <w:ind w:right="-20"/>
              <w:jc w:val="center"/>
              <w:rPr>
                <w:rFonts w:eastAsia="仿宋_GB2312"/>
                <w:spacing w:val="6"/>
                <w:sz w:val="28"/>
                <w:szCs w:val="28"/>
              </w:rPr>
            </w:pPr>
          </w:p>
        </w:tc>
        <w:tc>
          <w:tcPr>
            <w:tcW w:w="32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CRF修正记录</w:t>
            </w:r>
          </w:p>
        </w:tc>
        <w:tc>
          <w:tcPr>
            <w:tcW w:w="3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证明所有的CRF在首次填写记录后，进行的任何修正记录</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w:t>
            </w:r>
          </w:p>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（复印件）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spacing w:line="360" w:lineRule="auto"/>
              <w:ind w:right="-20"/>
              <w:jc w:val="center"/>
              <w:rPr>
                <w:rFonts w:eastAsia="仿宋_GB2312"/>
                <w:spacing w:val="6"/>
                <w:sz w:val="28"/>
                <w:szCs w:val="28"/>
              </w:rPr>
            </w:pPr>
          </w:p>
        </w:tc>
        <w:tc>
          <w:tcPr>
            <w:tcW w:w="32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研究者向申办者报告的严重不良事件</w:t>
            </w:r>
          </w:p>
        </w:tc>
        <w:tc>
          <w:tcPr>
            <w:tcW w:w="3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研究者致申办者严重不良事件的报告，及其他相关问题的报告</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spacing w:line="360" w:lineRule="auto"/>
              <w:ind w:right="-20"/>
              <w:jc w:val="center"/>
              <w:rPr>
                <w:rFonts w:eastAsia="仿宋_GB2312"/>
                <w:spacing w:val="6"/>
                <w:sz w:val="28"/>
                <w:szCs w:val="28"/>
              </w:rPr>
            </w:pPr>
          </w:p>
        </w:tc>
        <w:tc>
          <w:tcPr>
            <w:tcW w:w="32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申办者和/或研究者向药品监督管理部门、伦理委员会提交的非预期的药物严重不良事件及其他安全性资料</w:t>
            </w:r>
          </w:p>
        </w:tc>
        <w:tc>
          <w:tcPr>
            <w:tcW w:w="3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申办者和/或研究者向药品监督管理部门、伦理委员会提交的非预期的药物严重不良事件及其他安全性资料</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X（必要时）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spacing w:line="360" w:lineRule="auto"/>
              <w:ind w:right="-20"/>
              <w:jc w:val="center"/>
              <w:rPr>
                <w:rFonts w:eastAsia="仿宋_GB2312"/>
                <w:spacing w:val="6"/>
                <w:sz w:val="28"/>
                <w:szCs w:val="28"/>
              </w:rPr>
            </w:pPr>
          </w:p>
        </w:tc>
        <w:tc>
          <w:tcPr>
            <w:tcW w:w="32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申办者向研究者通报的安全性资料</w:t>
            </w:r>
          </w:p>
        </w:tc>
        <w:tc>
          <w:tcPr>
            <w:tcW w:w="3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申办者向研究者通报的安全性资料</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spacing w:line="360" w:lineRule="auto"/>
              <w:ind w:right="-20"/>
              <w:jc w:val="center"/>
              <w:rPr>
                <w:rFonts w:eastAsia="仿宋_GB2312"/>
                <w:spacing w:val="6"/>
                <w:sz w:val="28"/>
                <w:szCs w:val="28"/>
              </w:rPr>
            </w:pPr>
          </w:p>
        </w:tc>
        <w:tc>
          <w:tcPr>
            <w:tcW w:w="32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申办者向伦理委员会和药品监督管理部门提交的中期报告或年度报告</w:t>
            </w:r>
          </w:p>
        </w:tc>
        <w:tc>
          <w:tcPr>
            <w:tcW w:w="3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申办者向伦理委员会和药品监督管理部门提交的中期报告或年度报告</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ind w:right="-23"/>
              <w:jc w:val="center"/>
              <w:rPr>
                <w:rFonts w:eastAsia="仿宋_GB2312"/>
                <w:spacing w:val="6"/>
                <w:sz w:val="28"/>
                <w:szCs w:val="28"/>
              </w:rPr>
            </w:pPr>
            <w:r>
              <w:rPr>
                <w:rFonts w:eastAsia="仿宋_GB2312"/>
                <w:spacing w:val="6"/>
                <w:sz w:val="28"/>
                <w:szCs w:val="28"/>
              </w:rPr>
              <w:t>X</w:t>
            </w:r>
          </w:p>
          <w:p>
            <w:pPr>
              <w:adjustRightInd w:val="0"/>
              <w:snapToGrid w:val="0"/>
              <w:spacing w:line="380" w:lineRule="exact"/>
              <w:ind w:right="-23"/>
              <w:jc w:val="center"/>
              <w:rPr>
                <w:rFonts w:eastAsia="仿宋_GB2312"/>
                <w:spacing w:val="6"/>
                <w:sz w:val="28"/>
                <w:szCs w:val="28"/>
              </w:rPr>
            </w:pPr>
            <w:r>
              <w:rPr>
                <w:rFonts w:eastAsia="仿宋_GB2312"/>
                <w:spacing w:val="6"/>
                <w:sz w:val="28"/>
                <w:szCs w:val="28"/>
              </w:rPr>
              <w:t>（必要时）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spacing w:line="360" w:lineRule="auto"/>
              <w:ind w:right="-20"/>
              <w:jc w:val="center"/>
              <w:rPr>
                <w:rFonts w:eastAsia="仿宋_GB2312"/>
                <w:spacing w:val="6"/>
                <w:sz w:val="28"/>
                <w:szCs w:val="28"/>
              </w:rPr>
            </w:pPr>
          </w:p>
        </w:tc>
        <w:tc>
          <w:tcPr>
            <w:tcW w:w="32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受试者筛选表</w:t>
            </w:r>
          </w:p>
        </w:tc>
        <w:tc>
          <w:tcPr>
            <w:tcW w:w="3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证明进入试验前筛选程序的受试者身份</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ind w:right="-23"/>
              <w:jc w:val="center"/>
              <w:rPr>
                <w:rFonts w:eastAsia="仿宋_GB2312"/>
                <w:spacing w:val="6"/>
                <w:sz w:val="28"/>
                <w:szCs w:val="28"/>
              </w:rPr>
            </w:pPr>
            <w:r>
              <w:rPr>
                <w:rFonts w:eastAsia="仿宋_GB2312"/>
                <w:spacing w:val="6"/>
                <w:sz w:val="28"/>
                <w:szCs w:val="28"/>
              </w:rPr>
              <w:t>X（必要时）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5"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spacing w:line="360" w:lineRule="auto"/>
              <w:ind w:right="-20"/>
              <w:jc w:val="center"/>
              <w:rPr>
                <w:rFonts w:eastAsia="仿宋_GB2312"/>
                <w:spacing w:val="6"/>
                <w:sz w:val="28"/>
                <w:szCs w:val="28"/>
              </w:rPr>
            </w:pPr>
          </w:p>
        </w:tc>
        <w:tc>
          <w:tcPr>
            <w:tcW w:w="32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受试者识别编码表</w:t>
            </w:r>
          </w:p>
        </w:tc>
        <w:tc>
          <w:tcPr>
            <w:tcW w:w="3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研究者和其供职的医疗机构要保存所有入选试验的受试者的名单及其对应的识别编码表，以备研究者和其供职的医疗机构对受试者的识别</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spacing w:line="360" w:lineRule="auto"/>
              <w:ind w:right="-20"/>
              <w:jc w:val="center"/>
              <w:rPr>
                <w:rFonts w:eastAsia="仿宋_GB2312"/>
                <w:spacing w:val="6"/>
                <w:sz w:val="28"/>
                <w:szCs w:val="28"/>
              </w:rPr>
            </w:pPr>
          </w:p>
        </w:tc>
        <w:tc>
          <w:tcPr>
            <w:tcW w:w="32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受试者入选表</w:t>
            </w:r>
          </w:p>
        </w:tc>
        <w:tc>
          <w:tcPr>
            <w:tcW w:w="3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证明临床试验的受试者是按照时间先后顺序依次入组</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spacing w:line="360" w:lineRule="auto"/>
              <w:ind w:right="-20"/>
              <w:jc w:val="center"/>
              <w:rPr>
                <w:rFonts w:eastAsia="仿宋_GB2312"/>
                <w:spacing w:val="6"/>
                <w:sz w:val="28"/>
                <w:szCs w:val="28"/>
              </w:rPr>
            </w:pPr>
          </w:p>
        </w:tc>
        <w:tc>
          <w:tcPr>
            <w:tcW w:w="32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试验用药品在医疗研究机构的登记表</w:t>
            </w:r>
          </w:p>
        </w:tc>
        <w:tc>
          <w:tcPr>
            <w:tcW w:w="3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证明试验用药品是按照方案使用的</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spacing w:line="360" w:lineRule="auto"/>
              <w:ind w:right="-20"/>
              <w:jc w:val="center"/>
              <w:rPr>
                <w:rFonts w:eastAsia="仿宋_GB2312"/>
                <w:spacing w:val="6"/>
                <w:sz w:val="28"/>
                <w:szCs w:val="28"/>
              </w:rPr>
            </w:pPr>
          </w:p>
        </w:tc>
        <w:tc>
          <w:tcPr>
            <w:tcW w:w="32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研究者职责分工及签名页</w:t>
            </w:r>
          </w:p>
        </w:tc>
        <w:tc>
          <w:tcPr>
            <w:tcW w:w="3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证明所有参加临床试验研究人员被授权的职责和签名样张，包括填写或修正CRF人员的签名</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spacing w:line="360" w:lineRule="auto"/>
              <w:ind w:right="-20"/>
              <w:jc w:val="center"/>
              <w:rPr>
                <w:rFonts w:eastAsia="仿宋_GB2312"/>
                <w:spacing w:val="6"/>
                <w:sz w:val="28"/>
                <w:szCs w:val="28"/>
              </w:rPr>
            </w:pPr>
          </w:p>
        </w:tc>
        <w:tc>
          <w:tcPr>
            <w:tcW w:w="32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体液/组织样本的留存记录（若有）</w:t>
            </w:r>
          </w:p>
        </w:tc>
        <w:tc>
          <w:tcPr>
            <w:tcW w:w="3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证明重复分析时，留存样本的存放位置和标识</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w:t>
            </w:r>
          </w:p>
        </w:tc>
      </w:tr>
    </w:tbl>
    <w:p>
      <w:pPr>
        <w:jc w:val="left"/>
        <w:rPr>
          <w:rFonts w:hint="eastAsia" w:ascii="黑体" w:hAnsi="黑体" w:eastAsia="黑体"/>
          <w:sz w:val="28"/>
          <w:szCs w:val="28"/>
          <w:lang w:eastAsia="zh-CN"/>
        </w:rPr>
      </w:pPr>
    </w:p>
    <w:p>
      <w:pPr>
        <w:jc w:val="left"/>
        <w:rPr>
          <w:rFonts w:hint="eastAsia" w:ascii="黑体" w:hAnsi="黑体" w:eastAsia="黑体"/>
          <w:sz w:val="28"/>
          <w:szCs w:val="28"/>
          <w:lang w:eastAsia="zh-CN"/>
        </w:rPr>
      </w:pPr>
    </w:p>
    <w:p>
      <w:pPr>
        <w:jc w:val="left"/>
        <w:rPr>
          <w:rFonts w:hint="eastAsia" w:ascii="黑体" w:hAnsi="黑体" w:eastAsia="黑体"/>
          <w:sz w:val="28"/>
          <w:szCs w:val="28"/>
          <w:lang w:eastAsia="zh-CN"/>
        </w:rPr>
      </w:pPr>
    </w:p>
    <w:p>
      <w:pPr>
        <w:jc w:val="left"/>
        <w:rPr>
          <w:rFonts w:hint="eastAsia" w:ascii="黑体" w:hAnsi="黑体" w:eastAsia="黑体"/>
          <w:sz w:val="28"/>
          <w:szCs w:val="28"/>
          <w:lang w:eastAsia="zh-CN"/>
        </w:rPr>
      </w:pPr>
    </w:p>
    <w:p>
      <w:pPr>
        <w:jc w:val="left"/>
        <w:rPr>
          <w:rFonts w:hint="eastAsia" w:ascii="黑体" w:hAnsi="黑体" w:eastAsia="黑体"/>
          <w:sz w:val="28"/>
          <w:szCs w:val="28"/>
          <w:lang w:eastAsia="zh-CN"/>
        </w:rPr>
      </w:pPr>
    </w:p>
    <w:p>
      <w:pPr>
        <w:jc w:val="left"/>
        <w:rPr>
          <w:rFonts w:hint="eastAsia" w:ascii="黑体" w:hAnsi="黑体" w:eastAsia="黑体"/>
          <w:sz w:val="28"/>
          <w:szCs w:val="28"/>
          <w:lang w:eastAsia="zh-CN"/>
        </w:rPr>
      </w:pPr>
    </w:p>
    <w:p>
      <w:pPr>
        <w:jc w:val="left"/>
        <w:rPr>
          <w:rFonts w:hint="eastAsia" w:ascii="黑体" w:hAnsi="黑体" w:eastAsia="黑体"/>
          <w:sz w:val="28"/>
          <w:szCs w:val="28"/>
          <w:lang w:eastAsia="zh-CN"/>
        </w:rPr>
      </w:pPr>
    </w:p>
    <w:p>
      <w:pPr>
        <w:ind w:firstLine="640" w:firstLineChars="200"/>
        <w:jc w:val="left"/>
        <w:rPr>
          <w:rFonts w:ascii="黑体" w:hAnsi="黑体" w:eastAsia="黑体"/>
          <w:sz w:val="28"/>
          <w:szCs w:val="28"/>
        </w:rPr>
      </w:pPr>
      <w:r>
        <w:rPr>
          <w:rFonts w:hint="eastAsia" w:ascii="黑体" w:hAnsi="黑体" w:eastAsia="黑体"/>
          <w:sz w:val="28"/>
          <w:szCs w:val="28"/>
        </w:rPr>
        <w:t>三、</w:t>
      </w:r>
      <w:r>
        <w:rPr>
          <w:rFonts w:ascii="黑体" w:hAnsi="黑体" w:eastAsia="黑体"/>
          <w:sz w:val="28"/>
          <w:szCs w:val="28"/>
        </w:rPr>
        <w:t>临床试验完成后阶段</w:t>
      </w:r>
    </w:p>
    <w:tbl>
      <w:tblPr>
        <w:tblStyle w:val="28"/>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977"/>
        <w:gridCol w:w="3969"/>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spacing w:val="-6"/>
                <w:sz w:val="28"/>
                <w:szCs w:val="28"/>
              </w:rPr>
            </w:pPr>
          </w:p>
        </w:tc>
        <w:tc>
          <w:tcPr>
            <w:tcW w:w="297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b/>
                <w:spacing w:val="-6"/>
                <w:sz w:val="28"/>
                <w:szCs w:val="28"/>
              </w:rPr>
            </w:pPr>
            <w:r>
              <w:rPr>
                <w:rFonts w:eastAsia="仿宋_GB2312"/>
                <w:b/>
                <w:spacing w:val="-6"/>
                <w:sz w:val="28"/>
                <w:szCs w:val="28"/>
              </w:rPr>
              <w:t>保存文件</w:t>
            </w:r>
          </w:p>
        </w:tc>
        <w:tc>
          <w:tcPr>
            <w:tcW w:w="396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b/>
                <w:spacing w:val="-6"/>
                <w:sz w:val="28"/>
                <w:szCs w:val="28"/>
              </w:rPr>
            </w:pPr>
            <w:r>
              <w:rPr>
                <w:rFonts w:eastAsia="仿宋_GB2312"/>
                <w:b/>
                <w:spacing w:val="-6"/>
                <w:sz w:val="28"/>
                <w:szCs w:val="28"/>
              </w:rPr>
              <w:t>目的</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b/>
                <w:spacing w:val="-6"/>
                <w:sz w:val="28"/>
                <w:szCs w:val="28"/>
              </w:rPr>
            </w:pPr>
            <w:r>
              <w:rPr>
                <w:rFonts w:eastAsia="仿宋_GB2312"/>
                <w:b/>
                <w:spacing w:val="-6"/>
                <w:sz w:val="28"/>
                <w:szCs w:val="28"/>
              </w:rPr>
              <w:t>归档在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spacing w:val="-6"/>
                <w:sz w:val="28"/>
                <w:szCs w:val="2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rPr>
                <w:rFonts w:eastAsia="仿宋_GB2312"/>
                <w:b/>
                <w:spacing w:val="-6"/>
                <w:sz w:val="28"/>
                <w:szCs w:val="28"/>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rPr>
                <w:rFonts w:eastAsia="仿宋_GB2312"/>
                <w:b/>
                <w:spacing w:val="-6"/>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b/>
                <w:spacing w:val="-6"/>
                <w:sz w:val="28"/>
                <w:szCs w:val="28"/>
              </w:rPr>
            </w:pPr>
            <w:r>
              <w:rPr>
                <w:rFonts w:eastAsia="仿宋_GB2312"/>
                <w:b/>
                <w:spacing w:val="-6"/>
                <w:sz w:val="28"/>
                <w:szCs w:val="28"/>
              </w:rPr>
              <w:t>研究者/</w:t>
            </w:r>
          </w:p>
          <w:p>
            <w:pPr>
              <w:adjustRightInd w:val="0"/>
              <w:snapToGrid w:val="0"/>
              <w:spacing w:line="360" w:lineRule="auto"/>
              <w:ind w:left="-42" w:leftChars="-20" w:right="-42" w:rightChars="-20"/>
              <w:jc w:val="center"/>
              <w:rPr>
                <w:rFonts w:eastAsia="仿宋_GB2312"/>
                <w:b/>
                <w:spacing w:val="-6"/>
                <w:sz w:val="28"/>
                <w:szCs w:val="28"/>
              </w:rPr>
            </w:pPr>
            <w:r>
              <w:rPr>
                <w:rFonts w:eastAsia="仿宋_GB2312"/>
                <w:b/>
                <w:spacing w:val="-6"/>
                <w:sz w:val="28"/>
                <w:szCs w:val="28"/>
              </w:rPr>
              <w:t>研究机构</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eastAsia="仿宋_GB2312"/>
                <w:b/>
                <w:spacing w:val="-6"/>
                <w:sz w:val="28"/>
                <w:szCs w:val="28"/>
              </w:rPr>
            </w:pPr>
            <w:r>
              <w:rPr>
                <w:rFonts w:eastAsia="仿宋_GB2312"/>
                <w:b/>
                <w:spacing w:val="-6"/>
                <w:sz w:val="28"/>
                <w:szCs w:val="28"/>
              </w:rPr>
              <w:t>申办者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3"/>
              </w:numPr>
              <w:adjustRightInd w:val="0"/>
              <w:snapToGrid w:val="0"/>
              <w:spacing w:line="360" w:lineRule="auto"/>
              <w:ind w:right="-20"/>
              <w:jc w:val="center"/>
              <w:rPr>
                <w:rFonts w:eastAsia="仿宋_GB2312"/>
                <w:spacing w:val="-6"/>
                <w:sz w:val="28"/>
                <w:szCs w:val="28"/>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试验用药品在医疗机构的登记表</w:t>
            </w:r>
          </w:p>
        </w:tc>
        <w:tc>
          <w:tcPr>
            <w:tcW w:w="39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证明试验用药品按照试验方案要求使用</w:t>
            </w:r>
          </w:p>
          <w:p>
            <w:pPr>
              <w:adjustRightInd w:val="0"/>
              <w:snapToGrid w:val="0"/>
              <w:spacing w:line="276" w:lineRule="auto"/>
              <w:ind w:right="-20"/>
              <w:rPr>
                <w:rFonts w:eastAsia="仿宋_GB2312"/>
                <w:spacing w:val="-6"/>
                <w:sz w:val="28"/>
                <w:szCs w:val="28"/>
              </w:rPr>
            </w:pPr>
            <w:r>
              <w:rPr>
                <w:rFonts w:eastAsia="仿宋_GB2312"/>
                <w:spacing w:val="-6"/>
                <w:sz w:val="28"/>
                <w:szCs w:val="28"/>
              </w:rPr>
              <w:t>证明在医疗机构所接收的试验用药品的最终计数，包括发放给受试者的计数，从受试者回收的计数，和返还给申办者的计数</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3"/>
              </w:numPr>
              <w:adjustRightInd w:val="0"/>
              <w:snapToGrid w:val="0"/>
              <w:spacing w:line="360" w:lineRule="auto"/>
              <w:ind w:right="-20"/>
              <w:jc w:val="center"/>
              <w:rPr>
                <w:rFonts w:eastAsia="仿宋_GB2312"/>
                <w:spacing w:val="-6"/>
                <w:sz w:val="28"/>
                <w:szCs w:val="28"/>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试验用药品销毁证明</w:t>
            </w:r>
          </w:p>
        </w:tc>
        <w:tc>
          <w:tcPr>
            <w:tcW w:w="39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证明未被使用的试验用药品，由申办者销毁，或研究机构销毁</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X（若在研究机构销毁）</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3"/>
              </w:numPr>
              <w:adjustRightInd w:val="0"/>
              <w:snapToGrid w:val="0"/>
              <w:spacing w:line="360" w:lineRule="auto"/>
              <w:ind w:right="-20"/>
              <w:jc w:val="center"/>
              <w:rPr>
                <w:rFonts w:eastAsia="仿宋_GB2312"/>
                <w:spacing w:val="-6"/>
                <w:sz w:val="28"/>
                <w:szCs w:val="28"/>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完成试验的受试者识别编码表</w:t>
            </w:r>
          </w:p>
        </w:tc>
        <w:tc>
          <w:tcPr>
            <w:tcW w:w="39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记录所有入组受试者信息的编码表，以便后续随访时使用。编码表必须保密并存放至约定时间</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3"/>
              </w:numPr>
              <w:adjustRightInd w:val="0"/>
              <w:snapToGrid w:val="0"/>
              <w:spacing w:line="360" w:lineRule="auto"/>
              <w:ind w:right="-20"/>
              <w:jc w:val="center"/>
              <w:rPr>
                <w:rFonts w:eastAsia="仿宋_GB2312"/>
                <w:spacing w:val="-6"/>
                <w:sz w:val="28"/>
                <w:szCs w:val="28"/>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稽查证明（如需要）</w:t>
            </w:r>
          </w:p>
        </w:tc>
        <w:tc>
          <w:tcPr>
            <w:tcW w:w="39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证明进行过稽查</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3"/>
              </w:numPr>
              <w:adjustRightInd w:val="0"/>
              <w:snapToGrid w:val="0"/>
              <w:spacing w:line="360" w:lineRule="auto"/>
              <w:ind w:right="-20"/>
              <w:jc w:val="center"/>
              <w:rPr>
                <w:rFonts w:eastAsia="仿宋_GB2312"/>
                <w:spacing w:val="-6"/>
                <w:sz w:val="28"/>
                <w:szCs w:val="28"/>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试验结束监查报告</w:t>
            </w:r>
          </w:p>
        </w:tc>
        <w:tc>
          <w:tcPr>
            <w:tcW w:w="39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证明临床试验所有的工作已完成，试验结束；临床试验必备文件保存妥当</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3"/>
              </w:numPr>
              <w:adjustRightInd w:val="0"/>
              <w:snapToGrid w:val="0"/>
              <w:spacing w:line="360" w:lineRule="auto"/>
              <w:ind w:right="-20"/>
              <w:jc w:val="center"/>
              <w:rPr>
                <w:rFonts w:eastAsia="仿宋_GB2312"/>
                <w:spacing w:val="-6"/>
                <w:sz w:val="28"/>
                <w:szCs w:val="28"/>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试验分组和揭盲证明</w:t>
            </w:r>
          </w:p>
        </w:tc>
        <w:tc>
          <w:tcPr>
            <w:tcW w:w="39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将所有发生过的揭盲证明返还给申办者</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3"/>
              </w:numPr>
              <w:adjustRightInd w:val="0"/>
              <w:snapToGrid w:val="0"/>
              <w:spacing w:line="360" w:lineRule="auto"/>
              <w:ind w:right="-20"/>
              <w:jc w:val="center"/>
              <w:rPr>
                <w:rFonts w:eastAsia="仿宋_GB2312"/>
                <w:spacing w:val="-6"/>
                <w:sz w:val="28"/>
                <w:szCs w:val="28"/>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研究者向伦理委员会、药品监督管理部门提交的试验完成报告</w:t>
            </w:r>
          </w:p>
        </w:tc>
        <w:tc>
          <w:tcPr>
            <w:tcW w:w="39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证明试验的完成</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Borders>
              <w:top w:val="single" w:color="auto" w:sz="4" w:space="0"/>
              <w:left w:val="single" w:color="auto" w:sz="4" w:space="0"/>
              <w:bottom w:val="single" w:color="auto" w:sz="4" w:space="0"/>
              <w:right w:val="single" w:color="auto" w:sz="4" w:space="0"/>
            </w:tcBorders>
            <w:vAlign w:val="center"/>
          </w:tcPr>
          <w:p>
            <w:pPr>
              <w:numPr>
                <w:ilvl w:val="0"/>
                <w:numId w:val="3"/>
              </w:numPr>
              <w:adjustRightInd w:val="0"/>
              <w:snapToGrid w:val="0"/>
              <w:spacing w:line="360" w:lineRule="auto"/>
              <w:ind w:right="-20"/>
              <w:jc w:val="center"/>
              <w:rPr>
                <w:rFonts w:eastAsia="仿宋_GB2312"/>
                <w:spacing w:val="-6"/>
                <w:sz w:val="28"/>
                <w:szCs w:val="28"/>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临床试验总结报告</w:t>
            </w:r>
          </w:p>
        </w:tc>
        <w:tc>
          <w:tcPr>
            <w:tcW w:w="39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rPr>
                <w:rFonts w:eastAsia="仿宋_GB2312"/>
                <w:spacing w:val="-6"/>
                <w:sz w:val="28"/>
                <w:szCs w:val="28"/>
              </w:rPr>
            </w:pPr>
            <w:r>
              <w:rPr>
                <w:rFonts w:eastAsia="仿宋_GB2312"/>
                <w:spacing w:val="-6"/>
                <w:sz w:val="28"/>
                <w:szCs w:val="28"/>
              </w:rPr>
              <w:t>证明临床试验的结果和解释</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20"/>
              <w:jc w:val="center"/>
              <w:rPr>
                <w:rFonts w:eastAsia="仿宋_GB2312"/>
                <w:spacing w:val="-6"/>
                <w:sz w:val="28"/>
                <w:szCs w:val="28"/>
              </w:rPr>
            </w:pPr>
            <w:r>
              <w:rPr>
                <w:rFonts w:eastAsia="仿宋_GB2312"/>
                <w:spacing w:val="-6"/>
                <w:sz w:val="28"/>
                <w:szCs w:val="28"/>
              </w:rPr>
              <w:t>X</w:t>
            </w:r>
          </w:p>
        </w:tc>
      </w:tr>
    </w:tbl>
    <w:p>
      <w:pPr>
        <w:rPr>
          <w:sz w:val="22"/>
          <w:szCs w:val="2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F591A"/>
    <w:multiLevelType w:val="multilevel"/>
    <w:tmpl w:val="2D0F591A"/>
    <w:lvl w:ilvl="0" w:tentative="0">
      <w:start w:val="1"/>
      <w:numFmt w:val="decimal"/>
      <w:suff w:val="nothing"/>
      <w:lvlText w:val="%1"/>
      <w:lvlJc w:val="left"/>
      <w:pPr>
        <w:ind w:left="378"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A365F39"/>
    <w:multiLevelType w:val="multilevel"/>
    <w:tmpl w:val="3A365F39"/>
    <w:lvl w:ilvl="0" w:tentative="0">
      <w:start w:val="1"/>
      <w:numFmt w:val="decimal"/>
      <w:suff w:val="nothing"/>
      <w:lvlText w:val="%1"/>
      <w:lvlJc w:val="left"/>
      <w:pPr>
        <w:ind w:left="378" w:hanging="420"/>
      </w:pPr>
      <w:rPr>
        <w:rFonts w:hint="eastAsia"/>
      </w:rPr>
    </w:lvl>
    <w:lvl w:ilvl="1" w:tentative="0">
      <w:start w:val="1"/>
      <w:numFmt w:val="lowerLetter"/>
      <w:lvlText w:val="%2)"/>
      <w:lvlJc w:val="left"/>
      <w:pPr>
        <w:ind w:left="798" w:hanging="420"/>
      </w:pPr>
    </w:lvl>
    <w:lvl w:ilvl="2" w:tentative="0">
      <w:start w:val="1"/>
      <w:numFmt w:val="lowerRoman"/>
      <w:lvlText w:val="%3."/>
      <w:lvlJc w:val="right"/>
      <w:pPr>
        <w:ind w:left="1218" w:hanging="420"/>
      </w:pPr>
    </w:lvl>
    <w:lvl w:ilvl="3" w:tentative="0">
      <w:start w:val="1"/>
      <w:numFmt w:val="decimal"/>
      <w:lvlText w:val="%4."/>
      <w:lvlJc w:val="left"/>
      <w:pPr>
        <w:ind w:left="1638" w:hanging="420"/>
      </w:pPr>
    </w:lvl>
    <w:lvl w:ilvl="4" w:tentative="0">
      <w:start w:val="1"/>
      <w:numFmt w:val="lowerLetter"/>
      <w:lvlText w:val="%5)"/>
      <w:lvlJc w:val="left"/>
      <w:pPr>
        <w:ind w:left="2058" w:hanging="420"/>
      </w:pPr>
    </w:lvl>
    <w:lvl w:ilvl="5" w:tentative="0">
      <w:start w:val="1"/>
      <w:numFmt w:val="lowerRoman"/>
      <w:lvlText w:val="%6."/>
      <w:lvlJc w:val="right"/>
      <w:pPr>
        <w:ind w:left="2478" w:hanging="420"/>
      </w:pPr>
    </w:lvl>
    <w:lvl w:ilvl="6" w:tentative="0">
      <w:start w:val="1"/>
      <w:numFmt w:val="decimal"/>
      <w:lvlText w:val="%7."/>
      <w:lvlJc w:val="left"/>
      <w:pPr>
        <w:ind w:left="2898" w:hanging="420"/>
      </w:pPr>
    </w:lvl>
    <w:lvl w:ilvl="7" w:tentative="0">
      <w:start w:val="1"/>
      <w:numFmt w:val="lowerLetter"/>
      <w:lvlText w:val="%8)"/>
      <w:lvlJc w:val="left"/>
      <w:pPr>
        <w:ind w:left="3318" w:hanging="420"/>
      </w:pPr>
    </w:lvl>
    <w:lvl w:ilvl="8" w:tentative="0">
      <w:start w:val="1"/>
      <w:numFmt w:val="lowerRoman"/>
      <w:lvlText w:val="%9."/>
      <w:lvlJc w:val="right"/>
      <w:pPr>
        <w:ind w:left="3738" w:hanging="420"/>
      </w:pPr>
    </w:lvl>
  </w:abstractNum>
  <w:abstractNum w:abstractNumId="2">
    <w:nsid w:val="676260A5"/>
    <w:multiLevelType w:val="multilevel"/>
    <w:tmpl w:val="676260A5"/>
    <w:lvl w:ilvl="0" w:tentative="0">
      <w:start w:val="1"/>
      <w:numFmt w:val="decimal"/>
      <w:suff w:val="nothing"/>
      <w:lvlText w:val="%1"/>
      <w:lvlJc w:val="left"/>
      <w:pPr>
        <w:ind w:left="378" w:hanging="420"/>
      </w:pPr>
      <w:rPr>
        <w:rFonts w:hint="eastAsia"/>
      </w:rPr>
    </w:lvl>
    <w:lvl w:ilvl="1" w:tentative="0">
      <w:start w:val="1"/>
      <w:numFmt w:val="lowerLetter"/>
      <w:lvlText w:val="%2)"/>
      <w:lvlJc w:val="left"/>
      <w:pPr>
        <w:ind w:left="874" w:hanging="420"/>
      </w:pPr>
    </w:lvl>
    <w:lvl w:ilvl="2" w:tentative="0">
      <w:start w:val="1"/>
      <w:numFmt w:val="lowerRoman"/>
      <w:lvlText w:val="%3."/>
      <w:lvlJc w:val="right"/>
      <w:pPr>
        <w:ind w:left="1294" w:hanging="420"/>
      </w:pPr>
    </w:lvl>
    <w:lvl w:ilvl="3" w:tentative="0">
      <w:start w:val="1"/>
      <w:numFmt w:val="decimal"/>
      <w:lvlText w:val="%4."/>
      <w:lvlJc w:val="left"/>
      <w:pPr>
        <w:ind w:left="1714" w:hanging="420"/>
      </w:pPr>
    </w:lvl>
    <w:lvl w:ilvl="4" w:tentative="0">
      <w:start w:val="1"/>
      <w:numFmt w:val="lowerLetter"/>
      <w:lvlText w:val="%5)"/>
      <w:lvlJc w:val="left"/>
      <w:pPr>
        <w:ind w:left="2134" w:hanging="420"/>
      </w:pPr>
    </w:lvl>
    <w:lvl w:ilvl="5" w:tentative="0">
      <w:start w:val="1"/>
      <w:numFmt w:val="lowerRoman"/>
      <w:lvlText w:val="%6."/>
      <w:lvlJc w:val="right"/>
      <w:pPr>
        <w:ind w:left="2554" w:hanging="420"/>
      </w:pPr>
    </w:lvl>
    <w:lvl w:ilvl="6" w:tentative="0">
      <w:start w:val="1"/>
      <w:numFmt w:val="decimal"/>
      <w:lvlText w:val="%7."/>
      <w:lvlJc w:val="left"/>
      <w:pPr>
        <w:ind w:left="2974" w:hanging="420"/>
      </w:pPr>
    </w:lvl>
    <w:lvl w:ilvl="7" w:tentative="0">
      <w:start w:val="1"/>
      <w:numFmt w:val="lowerLetter"/>
      <w:lvlText w:val="%8)"/>
      <w:lvlJc w:val="left"/>
      <w:pPr>
        <w:ind w:left="3394" w:hanging="420"/>
      </w:pPr>
    </w:lvl>
    <w:lvl w:ilvl="8" w:tentative="0">
      <w:start w:val="1"/>
      <w:numFmt w:val="lowerRoman"/>
      <w:lvlText w:val="%9."/>
      <w:lvlJc w:val="right"/>
      <w:pPr>
        <w:ind w:left="3814"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329"/>
    <w:rsid w:val="00DB0A2A"/>
    <w:rsid w:val="00F45329"/>
    <w:rsid w:val="201B5428"/>
    <w:rsid w:val="686D527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semiHidden="0" w:name="toc 5"/>
    <w:lsdException w:uiPriority="39" w:semiHidden="0" w:name="toc 6"/>
    <w:lsdException w:qFormat="1" w:uiPriority="39" w:semiHidden="0" w:name="toc 7"/>
    <w:lsdException w:uiPriority="39" w:semiHidden="0" w:name="toc 8"/>
    <w:lsdException w:uiPriority="39" w:semiHidden="0" w:name="toc 9"/>
    <w:lsdException w:uiPriority="99" w:name="Normal Indent"/>
    <w:lsdException w:uiPriority="99" w:name="footnote text"/>
    <w:lsdException w:uiPriority="99" w:semiHidden="0"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0" w:semiHidden="0"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rFonts w:ascii="Calibri" w:hAnsi="Calibri"/>
      <w:b/>
      <w:bCs/>
      <w:kern w:val="44"/>
      <w:sz w:val="44"/>
      <w:szCs w:val="44"/>
      <w:lang w:val="zh-CN" w:eastAsia="zh-CN"/>
    </w:rPr>
  </w:style>
  <w:style w:type="paragraph" w:styleId="3">
    <w:name w:val="heading 2"/>
    <w:basedOn w:val="1"/>
    <w:next w:val="1"/>
    <w:link w:val="31"/>
    <w:qFormat/>
    <w:uiPriority w:val="9"/>
    <w:pPr>
      <w:keepNext/>
      <w:keepLines/>
      <w:spacing w:before="260" w:after="260" w:line="416" w:lineRule="auto"/>
      <w:outlineLvl w:val="1"/>
    </w:pPr>
    <w:rPr>
      <w:rFonts w:ascii="Cambria" w:hAnsi="Cambria"/>
      <w:b/>
      <w:bCs/>
      <w:kern w:val="0"/>
      <w:sz w:val="32"/>
      <w:szCs w:val="32"/>
      <w:lang w:val="zh-CN" w:eastAsia="zh-CN"/>
    </w:rPr>
  </w:style>
  <w:style w:type="paragraph" w:styleId="4">
    <w:name w:val="heading 3"/>
    <w:basedOn w:val="1"/>
    <w:next w:val="1"/>
    <w:link w:val="32"/>
    <w:qFormat/>
    <w:uiPriority w:val="9"/>
    <w:pPr>
      <w:keepNext/>
      <w:keepLines/>
      <w:spacing w:before="260" w:after="260" w:line="416" w:lineRule="auto"/>
      <w:outlineLvl w:val="2"/>
    </w:pPr>
    <w:rPr>
      <w:rFonts w:ascii="Calibri" w:hAnsi="Calibri"/>
      <w:b/>
      <w:bCs/>
      <w:kern w:val="0"/>
      <w:sz w:val="32"/>
      <w:szCs w:val="32"/>
      <w:lang w:val="zh-CN" w:eastAsia="zh-CN"/>
    </w:rPr>
  </w:style>
  <w:style w:type="character" w:default="1" w:styleId="23">
    <w:name w:val="Default Paragraph Font"/>
    <w:unhideWhenUsed/>
    <w:uiPriority w:val="1"/>
  </w:style>
  <w:style w:type="table" w:default="1" w:styleId="28">
    <w:name w:val="Normal Table"/>
    <w:unhideWhenUsed/>
    <w:uiPriority w:val="99"/>
    <w:tblPr>
      <w:tblLayout w:type="fixed"/>
      <w:tblCellMar>
        <w:top w:w="0" w:type="dxa"/>
        <w:left w:w="108" w:type="dxa"/>
        <w:bottom w:w="0" w:type="dxa"/>
        <w:right w:w="108" w:type="dxa"/>
      </w:tblCellMar>
    </w:tblPr>
  </w:style>
  <w:style w:type="paragraph" w:styleId="5">
    <w:name w:val="annotation subject"/>
    <w:basedOn w:val="6"/>
    <w:next w:val="6"/>
    <w:link w:val="40"/>
    <w:unhideWhenUsed/>
    <w:uiPriority w:val="99"/>
    <w:rPr>
      <w:b/>
      <w:bCs/>
    </w:rPr>
  </w:style>
  <w:style w:type="paragraph" w:styleId="6">
    <w:name w:val="annotation text"/>
    <w:basedOn w:val="1"/>
    <w:link w:val="39"/>
    <w:unhideWhenUsed/>
    <w:uiPriority w:val="99"/>
    <w:pPr>
      <w:widowControl/>
      <w:spacing w:after="200"/>
      <w:jc w:val="left"/>
    </w:pPr>
    <w:rPr>
      <w:rFonts w:ascii="Calibri" w:hAnsi="Calibri"/>
      <w:kern w:val="0"/>
      <w:sz w:val="20"/>
      <w:szCs w:val="20"/>
      <w:lang w:val="zh-CN" w:eastAsia="zh-CN"/>
    </w:rPr>
  </w:style>
  <w:style w:type="paragraph" w:styleId="7">
    <w:name w:val="toc 7"/>
    <w:basedOn w:val="1"/>
    <w:next w:val="1"/>
    <w:unhideWhenUsed/>
    <w:qFormat/>
    <w:uiPriority w:val="39"/>
    <w:pPr>
      <w:ind w:left="1260"/>
      <w:jc w:val="left"/>
    </w:pPr>
    <w:rPr>
      <w:rFonts w:ascii="Calibri" w:hAnsi="Calibri"/>
      <w:sz w:val="18"/>
      <w:szCs w:val="18"/>
    </w:rPr>
  </w:style>
  <w:style w:type="paragraph" w:styleId="8">
    <w:name w:val="Document Map"/>
    <w:basedOn w:val="1"/>
    <w:link w:val="35"/>
    <w:semiHidden/>
    <w:uiPriority w:val="0"/>
    <w:pPr>
      <w:shd w:val="clear" w:color="auto" w:fill="000080"/>
    </w:pPr>
  </w:style>
  <w:style w:type="paragraph" w:styleId="9">
    <w:name w:val="Body Text Indent"/>
    <w:basedOn w:val="1"/>
    <w:link w:val="41"/>
    <w:unhideWhenUsed/>
    <w:uiPriority w:val="0"/>
    <w:pPr>
      <w:ind w:firstLine="435"/>
    </w:pPr>
    <w:rPr>
      <w:kern w:val="0"/>
      <w:sz w:val="20"/>
      <w:lang w:val="zh-CN" w:eastAsia="zh-CN"/>
    </w:rPr>
  </w:style>
  <w:style w:type="paragraph" w:styleId="10">
    <w:name w:val="Block Text"/>
    <w:basedOn w:val="1"/>
    <w:unhideWhenUsed/>
    <w:qFormat/>
    <w:uiPriority w:val="0"/>
    <w:pPr>
      <w:adjustRightInd w:val="0"/>
      <w:snapToGrid w:val="0"/>
      <w:spacing w:line="260" w:lineRule="exact"/>
      <w:ind w:left="251" w:leftChars="-19" w:right="-42" w:rightChars="-20" w:hanging="291" w:hangingChars="153"/>
    </w:pPr>
    <w:rPr>
      <w:sz w:val="19"/>
    </w:rPr>
  </w:style>
  <w:style w:type="paragraph" w:styleId="11">
    <w:name w:val="toc 5"/>
    <w:basedOn w:val="1"/>
    <w:next w:val="1"/>
    <w:unhideWhenUsed/>
    <w:uiPriority w:val="39"/>
    <w:pPr>
      <w:ind w:left="840"/>
      <w:jc w:val="left"/>
    </w:pPr>
    <w:rPr>
      <w:rFonts w:ascii="Calibri" w:hAnsi="Calibri"/>
      <w:sz w:val="18"/>
      <w:szCs w:val="18"/>
    </w:rPr>
  </w:style>
  <w:style w:type="paragraph" w:styleId="12">
    <w:name w:val="toc 3"/>
    <w:basedOn w:val="1"/>
    <w:next w:val="1"/>
    <w:unhideWhenUsed/>
    <w:qFormat/>
    <w:uiPriority w:val="39"/>
    <w:pPr>
      <w:ind w:left="420"/>
      <w:jc w:val="left"/>
    </w:pPr>
    <w:rPr>
      <w:rFonts w:ascii="Calibri" w:hAnsi="Calibri"/>
      <w:i/>
      <w:iCs/>
      <w:sz w:val="20"/>
      <w:szCs w:val="20"/>
    </w:rPr>
  </w:style>
  <w:style w:type="paragraph" w:styleId="13">
    <w:name w:val="toc 8"/>
    <w:basedOn w:val="1"/>
    <w:next w:val="1"/>
    <w:unhideWhenUsed/>
    <w:uiPriority w:val="39"/>
    <w:pPr>
      <w:ind w:left="1470"/>
      <w:jc w:val="left"/>
    </w:pPr>
    <w:rPr>
      <w:rFonts w:ascii="Calibri" w:hAnsi="Calibri"/>
      <w:sz w:val="18"/>
      <w:szCs w:val="18"/>
    </w:rPr>
  </w:style>
  <w:style w:type="paragraph" w:styleId="14">
    <w:name w:val="Balloon Text"/>
    <w:basedOn w:val="1"/>
    <w:link w:val="36"/>
    <w:uiPriority w:val="99"/>
    <w:rPr>
      <w:sz w:val="18"/>
      <w:szCs w:val="18"/>
    </w:rPr>
  </w:style>
  <w:style w:type="paragraph" w:styleId="15">
    <w:name w:val="footer"/>
    <w:basedOn w:val="1"/>
    <w:link w:val="33"/>
    <w:uiPriority w:val="99"/>
    <w:pPr>
      <w:tabs>
        <w:tab w:val="center" w:pos="4153"/>
        <w:tab w:val="right" w:pos="8306"/>
      </w:tabs>
      <w:snapToGrid w:val="0"/>
      <w:jc w:val="left"/>
    </w:pPr>
    <w:rPr>
      <w:sz w:val="18"/>
      <w:szCs w:val="18"/>
    </w:rPr>
  </w:style>
  <w:style w:type="paragraph" w:styleId="16">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spacing w:before="120" w:after="120"/>
      <w:jc w:val="left"/>
    </w:pPr>
    <w:rPr>
      <w:rFonts w:ascii="Calibri" w:hAnsi="Calibri"/>
      <w:b/>
      <w:bCs/>
      <w:caps/>
      <w:sz w:val="20"/>
      <w:szCs w:val="20"/>
    </w:rPr>
  </w:style>
  <w:style w:type="paragraph" w:styleId="18">
    <w:name w:val="toc 4"/>
    <w:basedOn w:val="1"/>
    <w:next w:val="1"/>
    <w:unhideWhenUsed/>
    <w:qFormat/>
    <w:uiPriority w:val="39"/>
    <w:pPr>
      <w:ind w:left="630"/>
      <w:jc w:val="left"/>
    </w:pPr>
    <w:rPr>
      <w:rFonts w:ascii="Calibri" w:hAnsi="Calibri"/>
      <w:sz w:val="18"/>
      <w:szCs w:val="18"/>
    </w:rPr>
  </w:style>
  <w:style w:type="paragraph" w:styleId="19">
    <w:name w:val="toc 6"/>
    <w:basedOn w:val="1"/>
    <w:next w:val="1"/>
    <w:unhideWhenUsed/>
    <w:uiPriority w:val="39"/>
    <w:pPr>
      <w:ind w:left="1050"/>
      <w:jc w:val="left"/>
    </w:pPr>
    <w:rPr>
      <w:rFonts w:ascii="Calibri" w:hAnsi="Calibri"/>
      <w:sz w:val="18"/>
      <w:szCs w:val="18"/>
    </w:rPr>
  </w:style>
  <w:style w:type="paragraph" w:styleId="20">
    <w:name w:val="toc 2"/>
    <w:basedOn w:val="1"/>
    <w:next w:val="1"/>
    <w:unhideWhenUsed/>
    <w:qFormat/>
    <w:uiPriority w:val="39"/>
    <w:pPr>
      <w:ind w:left="210"/>
      <w:jc w:val="left"/>
    </w:pPr>
    <w:rPr>
      <w:rFonts w:ascii="Calibri" w:hAnsi="Calibri"/>
      <w:smallCaps/>
      <w:sz w:val="20"/>
      <w:szCs w:val="20"/>
    </w:rPr>
  </w:style>
  <w:style w:type="paragraph" w:styleId="21">
    <w:name w:val="toc 9"/>
    <w:basedOn w:val="1"/>
    <w:next w:val="1"/>
    <w:unhideWhenUsed/>
    <w:uiPriority w:val="39"/>
    <w:pPr>
      <w:ind w:left="1680"/>
      <w:jc w:val="left"/>
    </w:pPr>
    <w:rPr>
      <w:rFonts w:ascii="Calibri" w:hAnsi="Calibri"/>
      <w:sz w:val="18"/>
      <w:szCs w:val="18"/>
    </w:rPr>
  </w:style>
  <w:style w:type="paragraph" w:styleId="22">
    <w:name w:val="Normal (Web)"/>
    <w:basedOn w:val="1"/>
    <w:qFormat/>
    <w:uiPriority w:val="99"/>
    <w:pPr>
      <w:widowControl/>
      <w:spacing w:before="100" w:beforeAutospacing="1" w:after="100" w:afterAutospacing="1" w:line="384" w:lineRule="auto"/>
      <w:jc w:val="left"/>
    </w:pPr>
    <w:rPr>
      <w:rFonts w:ascii="宋体" w:hAnsi="宋体" w:cs="宋体"/>
      <w:color w:val="000000"/>
      <w:kern w:val="0"/>
      <w:sz w:val="17"/>
      <w:szCs w:val="17"/>
    </w:rPr>
  </w:style>
  <w:style w:type="character" w:styleId="24">
    <w:name w:val="page number"/>
    <w:basedOn w:val="23"/>
    <w:uiPriority w:val="0"/>
  </w:style>
  <w:style w:type="character" w:styleId="25">
    <w:name w:val="FollowedHyperlink"/>
    <w:unhideWhenUsed/>
    <w:uiPriority w:val="99"/>
    <w:rPr>
      <w:color w:val="800080"/>
      <w:u w:val="single"/>
    </w:rPr>
  </w:style>
  <w:style w:type="character" w:styleId="26">
    <w:name w:val="Hyperlink"/>
    <w:unhideWhenUsed/>
    <w:uiPriority w:val="99"/>
    <w:rPr>
      <w:color w:val="0000FF"/>
      <w:u w:val="single"/>
    </w:rPr>
  </w:style>
  <w:style w:type="character" w:styleId="27">
    <w:name w:val="annotation reference"/>
    <w:unhideWhenUsed/>
    <w:uiPriority w:val="99"/>
    <w:rPr>
      <w:sz w:val="16"/>
      <w:szCs w:val="16"/>
    </w:rPr>
  </w:style>
  <w:style w:type="table" w:styleId="29">
    <w:name w:val="Table Grid"/>
    <w:basedOn w:val="28"/>
    <w:uiPriority w:val="59"/>
    <w:rPr>
      <w:rFonts w:ascii="Calibri" w:hAnsi="Calibri" w:eastAsia="宋体" w:cs="Times New Roman"/>
      <w:kern w:val="0"/>
      <w:sz w:val="22"/>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0">
    <w:name w:val="标题 1 Char"/>
    <w:basedOn w:val="23"/>
    <w:link w:val="2"/>
    <w:uiPriority w:val="9"/>
    <w:rPr>
      <w:rFonts w:ascii="Calibri" w:hAnsi="Calibri" w:eastAsia="宋体" w:cs="Times New Roman"/>
      <w:b/>
      <w:bCs/>
      <w:kern w:val="44"/>
      <w:sz w:val="44"/>
      <w:szCs w:val="44"/>
      <w:lang w:val="zh-CN" w:eastAsia="zh-CN"/>
    </w:rPr>
  </w:style>
  <w:style w:type="character" w:customStyle="1" w:styleId="31">
    <w:name w:val="标题 2 Char"/>
    <w:basedOn w:val="23"/>
    <w:link w:val="3"/>
    <w:uiPriority w:val="9"/>
    <w:rPr>
      <w:rFonts w:ascii="Cambria" w:hAnsi="Cambria" w:eastAsia="宋体" w:cs="Times New Roman"/>
      <w:b/>
      <w:bCs/>
      <w:kern w:val="0"/>
      <w:sz w:val="32"/>
      <w:szCs w:val="32"/>
      <w:lang w:val="zh-CN" w:eastAsia="zh-CN"/>
    </w:rPr>
  </w:style>
  <w:style w:type="character" w:customStyle="1" w:styleId="32">
    <w:name w:val="标题 3 Char"/>
    <w:basedOn w:val="23"/>
    <w:link w:val="4"/>
    <w:uiPriority w:val="9"/>
    <w:rPr>
      <w:rFonts w:ascii="Calibri" w:hAnsi="Calibri" w:eastAsia="宋体" w:cs="Times New Roman"/>
      <w:b/>
      <w:bCs/>
      <w:kern w:val="0"/>
      <w:sz w:val="32"/>
      <w:szCs w:val="32"/>
      <w:lang w:val="zh-CN" w:eastAsia="zh-CN"/>
    </w:rPr>
  </w:style>
  <w:style w:type="character" w:customStyle="1" w:styleId="33">
    <w:name w:val="页脚 Char"/>
    <w:basedOn w:val="23"/>
    <w:link w:val="15"/>
    <w:uiPriority w:val="99"/>
    <w:rPr>
      <w:rFonts w:ascii="Times New Roman" w:hAnsi="Times New Roman" w:eastAsia="宋体" w:cs="Times New Roman"/>
      <w:sz w:val="18"/>
      <w:szCs w:val="18"/>
    </w:rPr>
  </w:style>
  <w:style w:type="character" w:customStyle="1" w:styleId="34">
    <w:name w:val="页眉 Char"/>
    <w:basedOn w:val="23"/>
    <w:link w:val="16"/>
    <w:uiPriority w:val="99"/>
    <w:rPr>
      <w:rFonts w:ascii="Times New Roman" w:hAnsi="Times New Roman" w:eastAsia="宋体" w:cs="Times New Roman"/>
      <w:sz w:val="18"/>
      <w:szCs w:val="18"/>
    </w:rPr>
  </w:style>
  <w:style w:type="character" w:customStyle="1" w:styleId="35">
    <w:name w:val="文档结构图 Char"/>
    <w:basedOn w:val="23"/>
    <w:link w:val="8"/>
    <w:semiHidden/>
    <w:uiPriority w:val="0"/>
    <w:rPr>
      <w:rFonts w:ascii="Times New Roman" w:hAnsi="Times New Roman" w:eastAsia="宋体" w:cs="Times New Roman"/>
      <w:szCs w:val="24"/>
      <w:shd w:val="clear" w:color="auto" w:fill="000080"/>
    </w:rPr>
  </w:style>
  <w:style w:type="character" w:customStyle="1" w:styleId="36">
    <w:name w:val="批注框文本 Char"/>
    <w:basedOn w:val="23"/>
    <w:link w:val="14"/>
    <w:uiPriority w:val="99"/>
    <w:rPr>
      <w:rFonts w:ascii="Times New Roman" w:hAnsi="Times New Roman" w:eastAsia="宋体" w:cs="Times New Roman"/>
      <w:sz w:val="18"/>
      <w:szCs w:val="18"/>
    </w:rPr>
  </w:style>
  <w:style w:type="paragraph" w:customStyle="1" w:styleId="37">
    <w:name w:val="List Paragraph"/>
    <w:basedOn w:val="1"/>
    <w:qFormat/>
    <w:uiPriority w:val="34"/>
    <w:pPr>
      <w:ind w:firstLine="420" w:firstLineChars="200"/>
    </w:pPr>
    <w:rPr>
      <w:rFonts w:ascii="Calibri" w:hAnsi="Calibri"/>
      <w:szCs w:val="22"/>
    </w:rPr>
  </w:style>
  <w:style w:type="paragraph" w:customStyle="1" w:styleId="38">
    <w:name w:val="Default"/>
    <w:uiPriority w:val="0"/>
    <w:pPr>
      <w:autoSpaceDE w:val="0"/>
      <w:autoSpaceDN w:val="0"/>
      <w:adjustRightInd w:val="0"/>
    </w:pPr>
    <w:rPr>
      <w:rFonts w:ascii="Verdana" w:hAnsi="Verdana" w:eastAsia="宋体" w:cs="Verdana"/>
      <w:color w:val="000000"/>
      <w:kern w:val="0"/>
      <w:sz w:val="24"/>
      <w:szCs w:val="24"/>
      <w:lang w:val="en-US" w:eastAsia="zh-CN" w:bidi="ar-SA"/>
    </w:rPr>
  </w:style>
  <w:style w:type="character" w:customStyle="1" w:styleId="39">
    <w:name w:val="批注文字 Char"/>
    <w:basedOn w:val="23"/>
    <w:link w:val="6"/>
    <w:uiPriority w:val="99"/>
    <w:rPr>
      <w:rFonts w:ascii="Calibri" w:hAnsi="Calibri" w:eastAsia="宋体" w:cs="Times New Roman"/>
      <w:kern w:val="0"/>
      <w:sz w:val="20"/>
      <w:szCs w:val="20"/>
      <w:lang w:val="zh-CN" w:eastAsia="zh-CN"/>
    </w:rPr>
  </w:style>
  <w:style w:type="character" w:customStyle="1" w:styleId="40">
    <w:name w:val="批注主题 Char"/>
    <w:basedOn w:val="39"/>
    <w:link w:val="5"/>
    <w:uiPriority w:val="99"/>
    <w:rPr>
      <w:rFonts w:ascii="Calibri" w:hAnsi="Calibri" w:eastAsia="宋体" w:cs="Times New Roman"/>
      <w:b/>
      <w:bCs/>
      <w:kern w:val="0"/>
      <w:sz w:val="20"/>
      <w:szCs w:val="20"/>
      <w:lang w:val="zh-CN" w:eastAsia="zh-CN"/>
    </w:rPr>
  </w:style>
  <w:style w:type="character" w:customStyle="1" w:styleId="41">
    <w:name w:val="正文文本缩进 Char"/>
    <w:basedOn w:val="23"/>
    <w:link w:val="9"/>
    <w:uiPriority w:val="0"/>
    <w:rPr>
      <w:rFonts w:ascii="Times New Roman" w:hAnsi="Times New Roman" w:eastAsia="宋体" w:cs="Times New Roman"/>
      <w:kern w:val="0"/>
      <w:sz w:val="20"/>
      <w:szCs w:val="24"/>
      <w:lang w:val="zh-CN" w:eastAsia="zh-CN"/>
    </w:rPr>
  </w:style>
  <w:style w:type="paragraph" w:customStyle="1" w:styleId="42">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62</Pages>
  <Words>4934</Words>
  <Characters>28125</Characters>
  <Lines>234</Lines>
  <Paragraphs>65</Paragraphs>
  <ScaleCrop>false</ScaleCrop>
  <LinksUpToDate>false</LinksUpToDate>
  <CharactersWithSpaces>32994</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2016-12-02T08:53:00Z</dcterms:created>
  <dc:creator>hp</dc:creator>
  <cp:lastModifiedBy>`</cp:lastModifiedBy>
  <cp:lastPrinted>2016-12-06T01:34:54Z</cp:lastPrinted>
  <dcterms:modified xsi:type="dcterms:W3CDTF">2016-12-06T01:37:40Z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